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C3B8B" w14:textId="77777777" w:rsidR="002E4665" w:rsidRDefault="00841E18">
      <w:pPr>
        <w:rPr>
          <w:rFonts w:ascii="Libre Baskerville" w:hAnsi="Libre Baskerville"/>
          <w:sz w:val="24"/>
          <w:szCs w:val="24"/>
        </w:rPr>
      </w:pPr>
      <w:bookmarkStart w:id="0" w:name="_GoBack"/>
      <w:bookmarkEnd w:id="0"/>
      <w:r>
        <w:rPr>
          <w:rFonts w:ascii="Libre Baskerville" w:hAnsi="Libre Baskerville"/>
          <w:noProof/>
          <w:sz w:val="24"/>
          <w:szCs w:val="24"/>
        </w:rPr>
        <w:drawing>
          <wp:anchor distT="0" distB="0" distL="114300" distR="114300" simplePos="0" relativeHeight="251658240" behindDoc="1" locked="0" layoutInCell="1" allowOverlap="1" wp14:anchorId="68365127" wp14:editId="06D43DF5">
            <wp:simplePos x="0" y="0"/>
            <wp:positionH relativeFrom="page">
              <wp:align>right</wp:align>
            </wp:positionH>
            <wp:positionV relativeFrom="paragraph">
              <wp:posOffset>-914400</wp:posOffset>
            </wp:positionV>
            <wp:extent cx="8020835"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835" cy="1771650"/>
                    </a:xfrm>
                    <a:prstGeom prst="rect">
                      <a:avLst/>
                    </a:prstGeom>
                    <a:noFill/>
                  </pic:spPr>
                </pic:pic>
              </a:graphicData>
            </a:graphic>
            <wp14:sizeRelH relativeFrom="margin">
              <wp14:pctWidth>0</wp14:pctWidth>
            </wp14:sizeRelH>
            <wp14:sizeRelV relativeFrom="margin">
              <wp14:pctHeight>0</wp14:pctHeight>
            </wp14:sizeRelV>
          </wp:anchor>
        </w:drawing>
      </w:r>
    </w:p>
    <w:p w14:paraId="7F750DD2" w14:textId="77777777" w:rsidR="00841E18" w:rsidRDefault="00841E18">
      <w:pPr>
        <w:rPr>
          <w:rFonts w:ascii="Libre Baskerville" w:hAnsi="Libre Baskerville"/>
          <w:sz w:val="24"/>
          <w:szCs w:val="24"/>
        </w:rPr>
      </w:pPr>
    </w:p>
    <w:p w14:paraId="48A038AF" w14:textId="77777777" w:rsidR="00841E18" w:rsidRPr="00841E18" w:rsidRDefault="00841E18" w:rsidP="00841E18">
      <w:pPr>
        <w:rPr>
          <w:rFonts w:ascii="Libre Baskerville" w:hAnsi="Libre Baskerville"/>
          <w:sz w:val="24"/>
          <w:szCs w:val="24"/>
        </w:rPr>
      </w:pPr>
    </w:p>
    <w:p w14:paraId="45AB741B" w14:textId="77777777" w:rsidR="002F1F96" w:rsidRDefault="002F1F96" w:rsidP="002F1F96">
      <w:pPr>
        <w:pStyle w:val="NoSpacing"/>
        <w:jc w:val="center"/>
        <w:rPr>
          <w:rFonts w:ascii="Tahoma" w:hAnsi="Tahoma" w:cs="Tahoma"/>
          <w:b/>
        </w:rPr>
      </w:pPr>
    </w:p>
    <w:p w14:paraId="5D92042D" w14:textId="7BCF8BA2" w:rsidR="00CC54FA" w:rsidRDefault="006C2023" w:rsidP="00CC54FA">
      <w:pPr>
        <w:tabs>
          <w:tab w:val="left" w:pos="2505"/>
        </w:tabs>
        <w:jc w:val="center"/>
        <w:rPr>
          <w:rFonts w:ascii="Gotham Medium" w:hAnsi="Gotham Medium"/>
          <w:b/>
          <w:sz w:val="36"/>
          <w:szCs w:val="36"/>
        </w:rPr>
      </w:pPr>
      <w:r>
        <w:rPr>
          <w:rFonts w:ascii="Gotham Medium" w:hAnsi="Gotham Medium"/>
          <w:b/>
          <w:sz w:val="36"/>
          <w:szCs w:val="36"/>
        </w:rPr>
        <w:t>PEDI 6510 Weekend Intensive</w:t>
      </w:r>
    </w:p>
    <w:p w14:paraId="45B7206B" w14:textId="77777777" w:rsidR="00863C1C" w:rsidRPr="00CC54FA" w:rsidRDefault="00863C1C" w:rsidP="00CC54FA">
      <w:pPr>
        <w:tabs>
          <w:tab w:val="left" w:pos="2505"/>
        </w:tabs>
        <w:jc w:val="center"/>
        <w:rPr>
          <w:rFonts w:ascii="Gotham Medium" w:hAnsi="Gotham Medium"/>
          <w:b/>
          <w:sz w:val="36"/>
          <w:szCs w:val="36"/>
        </w:rPr>
      </w:pPr>
      <w:r>
        <w:rPr>
          <w:rFonts w:ascii="Gotham Medium" w:hAnsi="Gotham Medium"/>
          <w:b/>
          <w:sz w:val="36"/>
          <w:szCs w:val="36"/>
        </w:rPr>
        <w:t>Management of</w:t>
      </w:r>
      <w:r w:rsidR="006A2694">
        <w:rPr>
          <w:rFonts w:ascii="Gotham Medium" w:hAnsi="Gotham Medium"/>
          <w:b/>
          <w:sz w:val="36"/>
          <w:szCs w:val="36"/>
        </w:rPr>
        <w:t xml:space="preserve"> Pediatric Neurological Conditions</w:t>
      </w:r>
      <w:r>
        <w:rPr>
          <w:rFonts w:ascii="Gotham Medium" w:hAnsi="Gotham Medium"/>
          <w:b/>
          <w:sz w:val="36"/>
          <w:szCs w:val="36"/>
        </w:rPr>
        <w:t xml:space="preserve"> WI</w:t>
      </w:r>
    </w:p>
    <w:p w14:paraId="1D637C32" w14:textId="77777777" w:rsidR="00CC54FA" w:rsidRPr="00CC54FA" w:rsidRDefault="00863C1C" w:rsidP="00CC54FA">
      <w:pPr>
        <w:tabs>
          <w:tab w:val="left" w:pos="2505"/>
        </w:tabs>
        <w:jc w:val="center"/>
        <w:rPr>
          <w:rFonts w:ascii="Gotham Medium" w:hAnsi="Gotham Medium"/>
          <w:b/>
          <w:sz w:val="36"/>
          <w:szCs w:val="36"/>
        </w:rPr>
      </w:pPr>
      <w:r>
        <w:rPr>
          <w:rFonts w:ascii="Gotham Medium" w:hAnsi="Gotham Medium"/>
          <w:b/>
          <w:sz w:val="36"/>
          <w:szCs w:val="36"/>
        </w:rPr>
        <w:t>Weekend Intensive Syllabus/Justification Letter</w:t>
      </w:r>
    </w:p>
    <w:p w14:paraId="0CA03D0B" w14:textId="77777777" w:rsidR="00CC54FA" w:rsidRPr="00CC54FA" w:rsidRDefault="00CC54FA" w:rsidP="00863C1C">
      <w:pPr>
        <w:tabs>
          <w:tab w:val="left" w:pos="2505"/>
        </w:tabs>
        <w:jc w:val="center"/>
        <w:rPr>
          <w:rFonts w:ascii="Gotham Medium" w:hAnsi="Gotham Medium"/>
          <w:sz w:val="32"/>
          <w:szCs w:val="24"/>
        </w:rPr>
      </w:pPr>
      <w:r>
        <w:rPr>
          <w:rFonts w:ascii="Gotham Medium" w:hAnsi="Gotham Medium"/>
          <w:sz w:val="32"/>
          <w:szCs w:val="24"/>
        </w:rPr>
        <w:t>Type of Course (</w:t>
      </w:r>
      <w:r w:rsidR="00863C1C">
        <w:rPr>
          <w:rFonts w:ascii="Gotham Medium" w:hAnsi="Gotham Medium"/>
          <w:sz w:val="32"/>
          <w:szCs w:val="24"/>
        </w:rPr>
        <w:t>weekend intensive with online pre-course work)</w:t>
      </w:r>
    </w:p>
    <w:p w14:paraId="1DAB440D" w14:textId="77777777" w:rsidR="00DF2B08" w:rsidRDefault="00DF2B08" w:rsidP="00DF2B08">
      <w:pPr>
        <w:tabs>
          <w:tab w:val="left" w:pos="2505"/>
        </w:tabs>
        <w:rPr>
          <w:rFonts w:ascii="Libre Baskerville" w:hAnsi="Libre Baskerville"/>
          <w:sz w:val="24"/>
          <w:szCs w:val="24"/>
        </w:rPr>
      </w:pPr>
      <w:r>
        <w:rPr>
          <w:rFonts w:ascii="Libre Baskerville" w:hAnsi="Libre Baskerville"/>
          <w:sz w:val="24"/>
          <w:szCs w:val="24"/>
        </w:rPr>
        <w:t>June 22-23, 2019  8:00-5:00 each day</w:t>
      </w:r>
    </w:p>
    <w:p w14:paraId="3644F02E" w14:textId="77777777" w:rsidR="00DF2B08" w:rsidRDefault="00DF2B08" w:rsidP="00DF2B08">
      <w:pPr>
        <w:tabs>
          <w:tab w:val="left" w:pos="2505"/>
        </w:tabs>
        <w:rPr>
          <w:rFonts w:ascii="Libre Baskerville" w:hAnsi="Libre Baskerville"/>
          <w:sz w:val="24"/>
          <w:szCs w:val="24"/>
        </w:rPr>
      </w:pPr>
      <w:r>
        <w:rPr>
          <w:rFonts w:ascii="Libre Baskerville" w:hAnsi="Libre Baskerville"/>
          <w:sz w:val="24"/>
          <w:szCs w:val="24"/>
        </w:rPr>
        <w:t>University of Alabama in Birmingham, School of Health Professions, Department of Physical Therapy, SHPB235-239, 1720 2</w:t>
      </w:r>
      <w:r w:rsidRPr="00DF2B08">
        <w:rPr>
          <w:rFonts w:ascii="Libre Baskerville" w:hAnsi="Libre Baskerville"/>
          <w:sz w:val="24"/>
          <w:szCs w:val="24"/>
          <w:vertAlign w:val="superscript"/>
        </w:rPr>
        <w:t>nd</w:t>
      </w:r>
      <w:r>
        <w:rPr>
          <w:rFonts w:ascii="Libre Baskerville" w:hAnsi="Libre Baskerville"/>
          <w:sz w:val="24"/>
          <w:szCs w:val="24"/>
        </w:rPr>
        <w:t xml:space="preserve"> Avenue South, Birmingham, AL 35294-1212</w:t>
      </w:r>
    </w:p>
    <w:p w14:paraId="7A528F48" w14:textId="1E1D11E2" w:rsidR="00CC54FA" w:rsidRPr="00CC54FA" w:rsidRDefault="006C2023" w:rsidP="00DF2B08">
      <w:pPr>
        <w:tabs>
          <w:tab w:val="left" w:pos="2505"/>
        </w:tabs>
        <w:rPr>
          <w:rFonts w:ascii="Gotham Medium" w:hAnsi="Gotham Medium"/>
          <w:sz w:val="32"/>
          <w:szCs w:val="24"/>
        </w:rPr>
      </w:pPr>
      <w:r w:rsidRPr="0049306E">
        <w:rPr>
          <w:rFonts w:ascii="Libre Baskerville" w:hAnsi="Libre Baskerville"/>
          <w:sz w:val="24"/>
          <w:szCs w:val="24"/>
          <w:highlight w:val="yellow"/>
        </w:rPr>
        <w:t xml:space="preserve">Host </w:t>
      </w:r>
      <w:r w:rsidR="00DF2B08" w:rsidRPr="0049306E">
        <w:rPr>
          <w:rFonts w:ascii="Libre Baskerville" w:hAnsi="Libre Baskerville"/>
          <w:sz w:val="24"/>
          <w:szCs w:val="24"/>
          <w:highlight w:val="yellow"/>
        </w:rPr>
        <w:t>Contact:  Sheree York  205-613-3964</w:t>
      </w:r>
      <w:r w:rsidR="0049306E" w:rsidRPr="0049306E">
        <w:rPr>
          <w:rFonts w:ascii="Libre Baskerville" w:hAnsi="Libre Baskerville"/>
          <w:sz w:val="24"/>
          <w:szCs w:val="24"/>
          <w:highlight w:val="yellow"/>
        </w:rPr>
        <w:t xml:space="preserve"> (if needed close to weekend, for lost folks trying to get in the building, etc</w:t>
      </w:r>
      <w:r w:rsidR="00CC54FA" w:rsidRPr="00CC54FA">
        <w:rPr>
          <w:rFonts w:ascii="Libre Baskerville" w:hAnsi="Libre Baskerville"/>
          <w:sz w:val="24"/>
          <w:szCs w:val="24"/>
        </w:rPr>
        <w:br/>
      </w:r>
    </w:p>
    <w:p w14:paraId="4C4FB784" w14:textId="77777777" w:rsidR="00CC54FA" w:rsidRPr="006A2694" w:rsidRDefault="00CC54FA" w:rsidP="00CC54FA">
      <w:pPr>
        <w:spacing w:after="0"/>
        <w:jc w:val="both"/>
        <w:rPr>
          <w:rFonts w:ascii="Arial Narrow" w:eastAsia="Times New Roman" w:hAnsi="Arial Narrow" w:cs="Times New Roman"/>
          <w:b/>
          <w:bCs/>
        </w:rPr>
      </w:pPr>
      <w:r w:rsidRPr="00CC54FA">
        <w:rPr>
          <w:rFonts w:ascii="Arial Narrow" w:eastAsia="Times New Roman" w:hAnsi="Arial Narrow" w:cs="Times New Roman"/>
          <w:b/>
          <w:bCs/>
        </w:rPr>
        <w:t>Course Author:</w:t>
      </w:r>
      <w:r w:rsidR="00863C1C">
        <w:rPr>
          <w:rFonts w:ascii="Arial Narrow" w:eastAsia="Times New Roman" w:hAnsi="Arial Narrow" w:cs="Times New Roman"/>
          <w:b/>
          <w:bCs/>
        </w:rPr>
        <w:t xml:space="preserve">  </w:t>
      </w:r>
      <w:r w:rsidR="006A2694">
        <w:rPr>
          <w:rFonts w:ascii="Arial Narrow" w:eastAsia="Times New Roman" w:hAnsi="Arial Narrow" w:cs="Times New Roman"/>
          <w:b/>
          <w:bCs/>
        </w:rPr>
        <w:t xml:space="preserve">Dr. Elisa Kennedy and Dr. Sheree York </w:t>
      </w:r>
    </w:p>
    <w:p w14:paraId="29400E42" w14:textId="77777777" w:rsidR="00CC54FA" w:rsidRPr="00CC54FA" w:rsidRDefault="00CC54FA" w:rsidP="00CC54FA">
      <w:pPr>
        <w:spacing w:after="0"/>
        <w:jc w:val="both"/>
        <w:rPr>
          <w:rFonts w:ascii="Arial Narrow" w:eastAsia="Times New Roman" w:hAnsi="Arial Narrow" w:cs="Times New Roman"/>
          <w:b/>
          <w:bCs/>
        </w:rPr>
      </w:pPr>
    </w:p>
    <w:p w14:paraId="196FC283" w14:textId="77777777" w:rsidR="00CC54FA" w:rsidRPr="00CC54FA" w:rsidRDefault="00CC54FA" w:rsidP="00CC54FA">
      <w:pPr>
        <w:spacing w:after="0"/>
        <w:jc w:val="both"/>
        <w:rPr>
          <w:rFonts w:ascii="Arial Narrow" w:eastAsia="Times New Roman" w:hAnsi="Arial Narrow" w:cs="Times New Roman"/>
          <w:b/>
          <w:bCs/>
        </w:rPr>
      </w:pPr>
      <w:r w:rsidRPr="00CC54FA">
        <w:rPr>
          <w:rFonts w:ascii="Arial Narrow" w:eastAsia="Times New Roman" w:hAnsi="Arial Narrow" w:cs="Times New Roman"/>
          <w:b/>
          <w:bCs/>
        </w:rPr>
        <w:t xml:space="preserve">Course Contact Info: </w:t>
      </w:r>
      <w:r w:rsidR="006A2694">
        <w:rPr>
          <w:rFonts w:ascii="Arial Narrow" w:eastAsia="Times New Roman" w:hAnsi="Arial Narrow" w:cs="Times New Roman"/>
          <w:b/>
          <w:bCs/>
        </w:rPr>
        <w:t xml:space="preserve"> </w:t>
      </w:r>
      <w:hyperlink r:id="rId8" w:history="1">
        <w:r w:rsidR="006A2694" w:rsidRPr="006B38CB">
          <w:rPr>
            <w:rStyle w:val="Hyperlink"/>
            <w:rFonts w:ascii="Arial Narrow" w:eastAsia="Times New Roman" w:hAnsi="Arial Narrow" w:cs="Times New Roman"/>
            <w:b/>
            <w:bCs/>
          </w:rPr>
          <w:t>ekennedy@southalabama.edu</w:t>
        </w:r>
      </w:hyperlink>
      <w:r w:rsidR="006A2694">
        <w:rPr>
          <w:rFonts w:ascii="Arial Narrow" w:eastAsia="Times New Roman" w:hAnsi="Arial Narrow" w:cs="Times New Roman"/>
          <w:b/>
          <w:bCs/>
        </w:rPr>
        <w:t xml:space="preserve">, </w:t>
      </w:r>
      <w:hyperlink r:id="rId9" w:history="1">
        <w:r w:rsidR="006A2694" w:rsidRPr="006B38CB">
          <w:rPr>
            <w:rStyle w:val="Hyperlink"/>
            <w:rFonts w:ascii="Arial Narrow" w:eastAsia="Times New Roman" w:hAnsi="Arial Narrow" w:cs="Times New Roman"/>
            <w:b/>
            <w:bCs/>
          </w:rPr>
          <w:t>yorks@uab.edu</w:t>
        </w:r>
      </w:hyperlink>
      <w:r w:rsidR="006A2694">
        <w:rPr>
          <w:rFonts w:ascii="Arial Narrow" w:eastAsia="Times New Roman" w:hAnsi="Arial Narrow" w:cs="Times New Roman"/>
          <w:b/>
          <w:bCs/>
        </w:rPr>
        <w:t xml:space="preserve"> </w:t>
      </w:r>
    </w:p>
    <w:p w14:paraId="6F85C878" w14:textId="77777777" w:rsidR="00CC54FA" w:rsidRPr="00CC54FA" w:rsidRDefault="00CC54FA" w:rsidP="00CC54FA">
      <w:pPr>
        <w:spacing w:after="0"/>
        <w:jc w:val="both"/>
        <w:rPr>
          <w:rFonts w:ascii="Arial Narrow" w:eastAsia="Times New Roman" w:hAnsi="Arial Narrow" w:cs="Times New Roman"/>
          <w:b/>
          <w:bCs/>
        </w:rPr>
      </w:pPr>
    </w:p>
    <w:p w14:paraId="7A689C3A" w14:textId="77777777" w:rsidR="00CC54FA" w:rsidRPr="00CC54FA" w:rsidRDefault="00CC54FA" w:rsidP="00CC54FA">
      <w:pPr>
        <w:spacing w:after="0"/>
        <w:jc w:val="both"/>
        <w:rPr>
          <w:rFonts w:ascii="Arial Narrow" w:eastAsia="Times New Roman" w:hAnsi="Arial Narrow" w:cs="Times New Roman"/>
          <w:bCs/>
        </w:rPr>
      </w:pPr>
      <w:r w:rsidRPr="00CC54FA">
        <w:rPr>
          <w:rFonts w:ascii="Arial Narrow" w:eastAsia="Times New Roman" w:hAnsi="Arial Narrow" w:cs="Times New Roman"/>
          <w:bCs/>
        </w:rPr>
        <w:t xml:space="preserve">All questions related to this course should be directed to </w:t>
      </w:r>
      <w:hyperlink r:id="rId10" w:history="1">
        <w:r w:rsidR="002E26F0" w:rsidRPr="00D711B5">
          <w:rPr>
            <w:rStyle w:val="Hyperlink"/>
            <w:rFonts w:ascii="Arial Narrow" w:eastAsia="Times New Roman" w:hAnsi="Arial Narrow" w:cs="Times New Roman"/>
            <w:bCs/>
          </w:rPr>
          <w:t>courses@eimpt.com</w:t>
        </w:r>
      </w:hyperlink>
      <w:r w:rsidRPr="00CC54FA">
        <w:rPr>
          <w:rFonts w:ascii="Arial Narrow" w:eastAsia="Times New Roman" w:hAnsi="Arial Narrow" w:cs="Times New Roman"/>
          <w:bCs/>
        </w:rPr>
        <w:t xml:space="preserve"> or you can call the office directly at 1-888-709-7096. To expedite a response to your request please include Course Name and Number, your question, the url to webpage related to the question, and a screenshot of what you see on your screen.</w:t>
      </w:r>
    </w:p>
    <w:p w14:paraId="1A3E47FF" w14:textId="77777777" w:rsidR="00CC54FA" w:rsidRPr="00CC54FA" w:rsidRDefault="00CC54FA" w:rsidP="00CC54FA">
      <w:pPr>
        <w:spacing w:after="0"/>
        <w:jc w:val="both"/>
        <w:rPr>
          <w:rFonts w:ascii="Arial Narrow" w:eastAsia="Times New Roman" w:hAnsi="Arial Narrow" w:cs="Times New Roman"/>
          <w:b/>
          <w:bCs/>
        </w:rPr>
      </w:pPr>
    </w:p>
    <w:p w14:paraId="625CBCE7" w14:textId="77777777" w:rsidR="00CC54FA" w:rsidRPr="00CC54FA" w:rsidRDefault="00CC54FA" w:rsidP="00CC54FA">
      <w:pPr>
        <w:spacing w:after="0" w:line="240" w:lineRule="auto"/>
        <w:jc w:val="both"/>
        <w:rPr>
          <w:rFonts w:ascii="Arial Narrow" w:eastAsia="Times New Roman" w:hAnsi="Arial Narrow" w:cs="Times New Roman"/>
          <w:b/>
          <w:bCs/>
        </w:rPr>
      </w:pPr>
      <w:r w:rsidRPr="00CC54FA">
        <w:rPr>
          <w:rFonts w:ascii="Arial Narrow" w:eastAsia="Times New Roman" w:hAnsi="Arial Narrow" w:cs="Times New Roman"/>
          <w:b/>
          <w:bCs/>
        </w:rPr>
        <w:t>Course Description:</w:t>
      </w:r>
    </w:p>
    <w:p w14:paraId="1AC7DDC2" w14:textId="77777777" w:rsidR="009D172D" w:rsidRDefault="00863C1C" w:rsidP="00CC54FA">
      <w:pPr>
        <w:spacing w:after="0" w:line="240" w:lineRule="auto"/>
        <w:jc w:val="both"/>
        <w:rPr>
          <w:rFonts w:ascii="Arial Narrow" w:eastAsia="Times New Roman" w:hAnsi="Arial Narrow" w:cs="Times New Roman"/>
          <w:bCs/>
        </w:rPr>
      </w:pPr>
      <w:r w:rsidRPr="00863C1C">
        <w:rPr>
          <w:rFonts w:ascii="Arial Narrow" w:eastAsia="Times New Roman" w:hAnsi="Arial Narrow" w:cs="Times New Roman"/>
          <w:bCs/>
        </w:rPr>
        <w:t xml:space="preserve">EIM's Management of </w:t>
      </w:r>
      <w:r w:rsidR="006A2694">
        <w:rPr>
          <w:rFonts w:ascii="Arial Narrow" w:eastAsia="Times New Roman" w:hAnsi="Arial Narrow" w:cs="Times New Roman"/>
          <w:bCs/>
        </w:rPr>
        <w:t>Pediatric Neurological Conditions</w:t>
      </w:r>
      <w:r w:rsidRPr="00863C1C">
        <w:rPr>
          <w:rFonts w:ascii="Arial Narrow" w:eastAsia="Times New Roman" w:hAnsi="Arial Narrow" w:cs="Times New Roman"/>
          <w:bCs/>
        </w:rPr>
        <w:t xml:space="preserve"> course is designed to enhance the participant's knowledge and skill level in the evidence-based management of </w:t>
      </w:r>
      <w:r w:rsidR="006A2694">
        <w:rPr>
          <w:rFonts w:ascii="Arial Narrow" w:eastAsia="Times New Roman" w:hAnsi="Arial Narrow" w:cs="Times New Roman"/>
          <w:bCs/>
        </w:rPr>
        <w:t xml:space="preserve">pediatric patients with neurodevelopmental disabilities. </w:t>
      </w:r>
      <w:r w:rsidRPr="00863C1C">
        <w:rPr>
          <w:rFonts w:ascii="Arial Narrow" w:eastAsia="Times New Roman" w:hAnsi="Arial Narrow" w:cs="Times New Roman"/>
          <w:bCs/>
        </w:rPr>
        <w:t xml:space="preserve">This lab intensive course focuses on the clinical reasoning and </w:t>
      </w:r>
      <w:r w:rsidR="002E65AD" w:rsidRPr="00863C1C">
        <w:rPr>
          <w:rFonts w:ascii="Arial Narrow" w:eastAsia="Times New Roman" w:hAnsi="Arial Narrow" w:cs="Times New Roman"/>
          <w:bCs/>
        </w:rPr>
        <w:t>applied</w:t>
      </w:r>
      <w:r w:rsidRPr="00863C1C">
        <w:rPr>
          <w:rFonts w:ascii="Arial Narrow" w:eastAsia="Times New Roman" w:hAnsi="Arial Narrow" w:cs="Times New Roman"/>
          <w:bCs/>
        </w:rPr>
        <w:t xml:space="preserve"> skill development necessary to effectively integrate </w:t>
      </w:r>
      <w:r w:rsidR="006A2694">
        <w:rPr>
          <w:rFonts w:ascii="Arial Narrow" w:eastAsia="Times New Roman" w:hAnsi="Arial Narrow" w:cs="Times New Roman"/>
          <w:bCs/>
        </w:rPr>
        <w:t xml:space="preserve">neurorehabilitation </w:t>
      </w:r>
      <w:r w:rsidRPr="00863C1C">
        <w:rPr>
          <w:rFonts w:ascii="Arial Narrow" w:eastAsia="Times New Roman" w:hAnsi="Arial Narrow" w:cs="Times New Roman"/>
          <w:bCs/>
        </w:rPr>
        <w:t xml:space="preserve">examination and intervention techniques into the clinical management </w:t>
      </w:r>
      <w:r w:rsidR="00D11BCB">
        <w:rPr>
          <w:rFonts w:ascii="Arial Narrow" w:eastAsia="Times New Roman" w:hAnsi="Arial Narrow" w:cs="Times New Roman"/>
          <w:bCs/>
        </w:rPr>
        <w:t xml:space="preserve">for </w:t>
      </w:r>
      <w:r w:rsidRPr="00863C1C">
        <w:rPr>
          <w:rFonts w:ascii="Arial Narrow" w:eastAsia="Times New Roman" w:hAnsi="Arial Narrow" w:cs="Times New Roman"/>
          <w:bCs/>
        </w:rPr>
        <w:t xml:space="preserve">these </w:t>
      </w:r>
      <w:r w:rsidR="00D11BCB">
        <w:rPr>
          <w:rFonts w:ascii="Arial Narrow" w:eastAsia="Times New Roman" w:hAnsi="Arial Narrow" w:cs="Times New Roman"/>
          <w:bCs/>
        </w:rPr>
        <w:t xml:space="preserve">children and their families.  </w:t>
      </w:r>
      <w:r w:rsidR="00F37422">
        <w:rPr>
          <w:rFonts w:ascii="Arial Narrow" w:eastAsia="Times New Roman" w:hAnsi="Arial Narrow" w:cs="Times New Roman"/>
          <w:bCs/>
        </w:rPr>
        <w:t xml:space="preserve">The course framework is reflective of the best available evidence in pediatric neurologic therapy as guided by the International Classification of Functioning, Disability, and Health (ICF) Framework and </w:t>
      </w:r>
      <w:r w:rsidR="00BB0558">
        <w:rPr>
          <w:rFonts w:ascii="Arial Narrow" w:eastAsia="Times New Roman" w:hAnsi="Arial Narrow" w:cs="Times New Roman"/>
          <w:bCs/>
        </w:rPr>
        <w:t xml:space="preserve">visionary </w:t>
      </w:r>
      <w:r w:rsidR="009633E6">
        <w:rPr>
          <w:rFonts w:ascii="Arial Narrow" w:eastAsia="Times New Roman" w:hAnsi="Arial Narrow" w:cs="Times New Roman"/>
          <w:bCs/>
        </w:rPr>
        <w:t>recommendations arising</w:t>
      </w:r>
      <w:r w:rsidR="00F37422">
        <w:rPr>
          <w:rFonts w:ascii="Arial Narrow" w:eastAsia="Times New Roman" w:hAnsi="Arial Narrow" w:cs="Times New Roman"/>
          <w:bCs/>
        </w:rPr>
        <w:t xml:space="preserve"> from </w:t>
      </w:r>
      <w:r w:rsidR="00BB0558">
        <w:rPr>
          <w:rFonts w:ascii="Arial Narrow" w:eastAsia="Times New Roman" w:hAnsi="Arial Narrow" w:cs="Times New Roman"/>
          <w:bCs/>
        </w:rPr>
        <w:t xml:space="preserve">the IV Step Conference sponsored by the pediatric and neurologic academies of the American Physical Therapy (APTA 2016). </w:t>
      </w:r>
      <w:r w:rsidR="009633E6">
        <w:rPr>
          <w:rFonts w:ascii="Arial Narrow" w:eastAsia="Times New Roman" w:hAnsi="Arial Narrow" w:cs="Times New Roman"/>
          <w:bCs/>
        </w:rPr>
        <w:t xml:space="preserve"> The </w:t>
      </w:r>
      <w:r w:rsidR="005F35FA">
        <w:rPr>
          <w:rFonts w:ascii="Arial Narrow" w:eastAsia="Times New Roman" w:hAnsi="Arial Narrow" w:cs="Times New Roman"/>
          <w:bCs/>
        </w:rPr>
        <w:t xml:space="preserve">lab </w:t>
      </w:r>
      <w:r w:rsidR="009633E6">
        <w:rPr>
          <w:rFonts w:ascii="Arial Narrow" w:eastAsia="Times New Roman" w:hAnsi="Arial Narrow" w:cs="Times New Roman"/>
          <w:bCs/>
        </w:rPr>
        <w:t xml:space="preserve">course </w:t>
      </w:r>
      <w:r w:rsidR="002741AD">
        <w:rPr>
          <w:rFonts w:ascii="Arial Narrow" w:eastAsia="Times New Roman" w:hAnsi="Arial Narrow" w:cs="Times New Roman"/>
          <w:bCs/>
        </w:rPr>
        <w:t>covers</w:t>
      </w:r>
      <w:r w:rsidR="005F35FA">
        <w:rPr>
          <w:rFonts w:ascii="Arial Narrow" w:eastAsia="Times New Roman" w:hAnsi="Arial Narrow" w:cs="Times New Roman"/>
          <w:bCs/>
        </w:rPr>
        <w:t xml:space="preserve"> assessment and intervention f</w:t>
      </w:r>
      <w:r w:rsidR="002741AD">
        <w:rPr>
          <w:rFonts w:ascii="Arial Narrow" w:eastAsia="Times New Roman" w:hAnsi="Arial Narrow" w:cs="Times New Roman"/>
          <w:bCs/>
        </w:rPr>
        <w:t xml:space="preserve">or infants </w:t>
      </w:r>
      <w:r w:rsidR="0075693A">
        <w:rPr>
          <w:rFonts w:ascii="Arial Narrow" w:eastAsia="Times New Roman" w:hAnsi="Arial Narrow" w:cs="Times New Roman"/>
          <w:bCs/>
        </w:rPr>
        <w:t>at-risk for developmental delays and</w:t>
      </w:r>
      <w:r w:rsidR="00522385">
        <w:rPr>
          <w:rFonts w:ascii="Arial Narrow" w:eastAsia="Times New Roman" w:hAnsi="Arial Narrow" w:cs="Times New Roman"/>
          <w:bCs/>
        </w:rPr>
        <w:t xml:space="preserve"> other</w:t>
      </w:r>
      <w:r w:rsidR="0075693A">
        <w:rPr>
          <w:rFonts w:ascii="Arial Narrow" w:eastAsia="Times New Roman" w:hAnsi="Arial Narrow" w:cs="Times New Roman"/>
          <w:bCs/>
        </w:rPr>
        <w:t xml:space="preserve"> specific</w:t>
      </w:r>
      <w:r w:rsidR="009633E6">
        <w:rPr>
          <w:rFonts w:ascii="Arial Narrow" w:eastAsia="Times New Roman" w:hAnsi="Arial Narrow" w:cs="Times New Roman"/>
          <w:bCs/>
        </w:rPr>
        <w:t xml:space="preserve"> pediatric neurologic </w:t>
      </w:r>
      <w:r w:rsidR="00283110">
        <w:rPr>
          <w:rFonts w:ascii="Arial Narrow" w:eastAsia="Times New Roman" w:hAnsi="Arial Narrow" w:cs="Times New Roman"/>
          <w:bCs/>
        </w:rPr>
        <w:t>medical diagnoses.</w:t>
      </w:r>
      <w:r w:rsidR="001B5D16">
        <w:rPr>
          <w:rFonts w:ascii="Arial Narrow" w:eastAsia="Times New Roman" w:hAnsi="Arial Narrow" w:cs="Times New Roman"/>
          <w:bCs/>
        </w:rPr>
        <w:t xml:space="preserve">  </w:t>
      </w:r>
      <w:r w:rsidR="002741AD">
        <w:rPr>
          <w:rFonts w:ascii="Arial Narrow" w:eastAsia="Times New Roman" w:hAnsi="Arial Narrow" w:cs="Times New Roman"/>
          <w:bCs/>
        </w:rPr>
        <w:t xml:space="preserve">Specific course highlights </w:t>
      </w:r>
      <w:r w:rsidR="005F35FA">
        <w:rPr>
          <w:rFonts w:ascii="Arial Narrow" w:eastAsia="Times New Roman" w:hAnsi="Arial Narrow" w:cs="Times New Roman"/>
          <w:bCs/>
        </w:rPr>
        <w:t xml:space="preserve">include:  developmental intervention for </w:t>
      </w:r>
      <w:r w:rsidR="0075693A">
        <w:rPr>
          <w:rFonts w:ascii="Arial Narrow" w:eastAsia="Times New Roman" w:hAnsi="Arial Narrow" w:cs="Times New Roman"/>
          <w:bCs/>
        </w:rPr>
        <w:t>infants, intensive</w:t>
      </w:r>
      <w:r w:rsidR="002741AD">
        <w:rPr>
          <w:rFonts w:ascii="Arial Narrow" w:eastAsia="Times New Roman" w:hAnsi="Arial Narrow" w:cs="Times New Roman"/>
          <w:bCs/>
        </w:rPr>
        <w:t xml:space="preserve"> therapy </w:t>
      </w:r>
      <w:r w:rsidR="0075693A">
        <w:rPr>
          <w:rFonts w:ascii="Arial Narrow" w:eastAsia="Times New Roman" w:hAnsi="Arial Narrow" w:cs="Times New Roman"/>
          <w:bCs/>
        </w:rPr>
        <w:t>programs for</w:t>
      </w:r>
      <w:r w:rsidR="002741AD">
        <w:rPr>
          <w:rFonts w:ascii="Arial Narrow" w:eastAsia="Times New Roman" w:hAnsi="Arial Narrow" w:cs="Times New Roman"/>
          <w:bCs/>
        </w:rPr>
        <w:t xml:space="preserve"> children s/p dorsal rhizotomy (SDR) and</w:t>
      </w:r>
      <w:r w:rsidR="005F35FA">
        <w:rPr>
          <w:rFonts w:ascii="Arial Narrow" w:eastAsia="Times New Roman" w:hAnsi="Arial Narrow" w:cs="Times New Roman"/>
          <w:bCs/>
        </w:rPr>
        <w:t>/or</w:t>
      </w:r>
      <w:r w:rsidR="002741AD">
        <w:rPr>
          <w:rFonts w:ascii="Arial Narrow" w:eastAsia="Times New Roman" w:hAnsi="Arial Narrow" w:cs="Times New Roman"/>
          <w:bCs/>
        </w:rPr>
        <w:t xml:space="preserve"> sing</w:t>
      </w:r>
      <w:r w:rsidR="005F35FA">
        <w:rPr>
          <w:rFonts w:ascii="Arial Narrow" w:eastAsia="Times New Roman" w:hAnsi="Arial Narrow" w:cs="Times New Roman"/>
          <w:bCs/>
        </w:rPr>
        <w:t>le</w:t>
      </w:r>
      <w:r w:rsidR="002741AD">
        <w:rPr>
          <w:rFonts w:ascii="Arial Narrow" w:eastAsia="Times New Roman" w:hAnsi="Arial Narrow" w:cs="Times New Roman"/>
          <w:bCs/>
        </w:rPr>
        <w:t>-event multilevel surgery (SEMLS), pediatric vestibular rehabilitation, sensorimotor</w:t>
      </w:r>
      <w:r w:rsidR="0075693A">
        <w:rPr>
          <w:rFonts w:ascii="Arial Narrow" w:eastAsia="Times New Roman" w:hAnsi="Arial Narrow" w:cs="Times New Roman"/>
          <w:bCs/>
        </w:rPr>
        <w:t xml:space="preserve"> rehabilitation (including vestibular rehabilitation</w:t>
      </w:r>
      <w:r w:rsidR="00283110">
        <w:rPr>
          <w:rFonts w:ascii="Arial Narrow" w:eastAsia="Times New Roman" w:hAnsi="Arial Narrow" w:cs="Times New Roman"/>
          <w:bCs/>
        </w:rPr>
        <w:t>, autism spectrum disorder, and developmental coordination disorder</w:t>
      </w:r>
      <w:r w:rsidR="0075693A">
        <w:rPr>
          <w:rFonts w:ascii="Arial Narrow" w:eastAsia="Times New Roman" w:hAnsi="Arial Narrow" w:cs="Times New Roman"/>
          <w:bCs/>
        </w:rPr>
        <w:t>),</w:t>
      </w:r>
      <w:r w:rsidR="002741AD">
        <w:rPr>
          <w:rFonts w:ascii="Arial Narrow" w:eastAsia="Times New Roman" w:hAnsi="Arial Narrow" w:cs="Times New Roman"/>
          <w:bCs/>
        </w:rPr>
        <w:t xml:space="preserve"> constrain</w:t>
      </w:r>
      <w:r w:rsidR="0075693A">
        <w:rPr>
          <w:rFonts w:ascii="Arial Narrow" w:eastAsia="Times New Roman" w:hAnsi="Arial Narrow" w:cs="Times New Roman"/>
          <w:bCs/>
        </w:rPr>
        <w:t>t</w:t>
      </w:r>
      <w:r w:rsidR="002741AD">
        <w:rPr>
          <w:rFonts w:ascii="Arial Narrow" w:eastAsia="Times New Roman" w:hAnsi="Arial Narrow" w:cs="Times New Roman"/>
          <w:bCs/>
        </w:rPr>
        <w:t xml:space="preserve">-induced therapy, and </w:t>
      </w:r>
      <w:r w:rsidR="0075693A">
        <w:rPr>
          <w:rFonts w:ascii="Arial Narrow" w:eastAsia="Times New Roman" w:hAnsi="Arial Narrow" w:cs="Times New Roman"/>
          <w:bCs/>
        </w:rPr>
        <w:t>recommendations for</w:t>
      </w:r>
      <w:r w:rsidR="005F35FA">
        <w:rPr>
          <w:rFonts w:ascii="Arial Narrow" w:eastAsia="Times New Roman" w:hAnsi="Arial Narrow" w:cs="Times New Roman"/>
          <w:bCs/>
        </w:rPr>
        <w:t xml:space="preserve"> special equipment. </w:t>
      </w:r>
      <w:r w:rsidR="009D172D">
        <w:rPr>
          <w:rFonts w:ascii="Arial Narrow" w:eastAsia="Times New Roman" w:hAnsi="Arial Narrow" w:cs="Times New Roman"/>
          <w:bCs/>
        </w:rPr>
        <w:t>In addition, the participants</w:t>
      </w:r>
      <w:r w:rsidR="002E65AD">
        <w:rPr>
          <w:rFonts w:ascii="Arial Narrow" w:eastAsia="Times New Roman" w:hAnsi="Arial Narrow" w:cs="Times New Roman"/>
          <w:bCs/>
        </w:rPr>
        <w:t xml:space="preserve"> will</w:t>
      </w:r>
      <w:r w:rsidR="009D172D">
        <w:rPr>
          <w:rFonts w:ascii="Arial Narrow" w:eastAsia="Times New Roman" w:hAnsi="Arial Narrow" w:cs="Times New Roman"/>
          <w:bCs/>
        </w:rPr>
        <w:t xml:space="preserve"> be able to actively engage </w:t>
      </w:r>
      <w:r w:rsidR="0075693A">
        <w:rPr>
          <w:rFonts w:ascii="Arial Narrow" w:eastAsia="Times New Roman" w:hAnsi="Arial Narrow" w:cs="Times New Roman"/>
          <w:bCs/>
        </w:rPr>
        <w:t xml:space="preserve">and </w:t>
      </w:r>
      <w:r w:rsidR="002E65AD">
        <w:rPr>
          <w:rFonts w:ascii="Arial Narrow" w:eastAsia="Times New Roman" w:hAnsi="Arial Narrow" w:cs="Times New Roman"/>
          <w:bCs/>
        </w:rPr>
        <w:t xml:space="preserve">gain insight </w:t>
      </w:r>
      <w:r w:rsidR="0075693A">
        <w:rPr>
          <w:rFonts w:ascii="Arial Narrow" w:eastAsia="Times New Roman" w:hAnsi="Arial Narrow" w:cs="Times New Roman"/>
          <w:bCs/>
        </w:rPr>
        <w:t xml:space="preserve">from </w:t>
      </w:r>
      <w:r w:rsidR="009D172D">
        <w:rPr>
          <w:rFonts w:ascii="Arial Narrow" w:eastAsia="Times New Roman" w:hAnsi="Arial Narrow" w:cs="Times New Roman"/>
          <w:bCs/>
        </w:rPr>
        <w:t xml:space="preserve">experienced pediatric physical and occupational therapists </w:t>
      </w:r>
      <w:r w:rsidR="002E65AD">
        <w:rPr>
          <w:rFonts w:ascii="Arial Narrow" w:eastAsia="Times New Roman" w:hAnsi="Arial Narrow" w:cs="Times New Roman"/>
          <w:bCs/>
        </w:rPr>
        <w:t>and</w:t>
      </w:r>
      <w:r w:rsidR="009D172D">
        <w:rPr>
          <w:rFonts w:ascii="Arial Narrow" w:eastAsia="Times New Roman" w:hAnsi="Arial Narrow" w:cs="Times New Roman"/>
          <w:bCs/>
        </w:rPr>
        <w:t xml:space="preserve"> families </w:t>
      </w:r>
      <w:r w:rsidR="0075693A">
        <w:rPr>
          <w:rFonts w:ascii="Arial Narrow" w:eastAsia="Times New Roman" w:hAnsi="Arial Narrow" w:cs="Times New Roman"/>
          <w:bCs/>
        </w:rPr>
        <w:t>who have</w:t>
      </w:r>
      <w:r w:rsidR="009D172D">
        <w:rPr>
          <w:rFonts w:ascii="Arial Narrow" w:eastAsia="Times New Roman" w:hAnsi="Arial Narrow" w:cs="Times New Roman"/>
          <w:bCs/>
        </w:rPr>
        <w:t xml:space="preserve"> children with neuro</w:t>
      </w:r>
      <w:r w:rsidR="0075693A">
        <w:rPr>
          <w:rFonts w:ascii="Arial Narrow" w:eastAsia="Times New Roman" w:hAnsi="Arial Narrow" w:cs="Times New Roman"/>
          <w:bCs/>
        </w:rPr>
        <w:t xml:space="preserve">developmental disabilities. </w:t>
      </w:r>
    </w:p>
    <w:p w14:paraId="00932E47" w14:textId="77777777" w:rsidR="00CC54FA" w:rsidRDefault="00863C1C" w:rsidP="00CC54FA">
      <w:pPr>
        <w:spacing w:after="0" w:line="240" w:lineRule="auto"/>
        <w:jc w:val="both"/>
        <w:rPr>
          <w:rFonts w:ascii="Arial Narrow" w:eastAsia="Times New Roman" w:hAnsi="Arial Narrow" w:cs="Times New Roman"/>
          <w:bCs/>
        </w:rPr>
      </w:pPr>
      <w:r w:rsidRPr="00BB0558">
        <w:rPr>
          <w:rFonts w:ascii="Arial Narrow" w:eastAsia="Times New Roman" w:hAnsi="Arial Narrow" w:cs="Times New Roman"/>
          <w:bCs/>
        </w:rPr>
        <w:lastRenderedPageBreak/>
        <w:t xml:space="preserve"> </w:t>
      </w:r>
    </w:p>
    <w:p w14:paraId="29630242" w14:textId="77777777" w:rsidR="00863C1C" w:rsidRPr="00863C1C" w:rsidRDefault="00863C1C" w:rsidP="00CC54FA">
      <w:pPr>
        <w:spacing w:after="0" w:line="240" w:lineRule="auto"/>
        <w:jc w:val="both"/>
        <w:rPr>
          <w:rFonts w:ascii="Arial Narrow" w:eastAsia="Times New Roman" w:hAnsi="Arial Narrow" w:cs="Times New Roman"/>
          <w:bCs/>
        </w:rPr>
      </w:pPr>
    </w:p>
    <w:p w14:paraId="565A54C0"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b/>
          <w:bCs/>
        </w:rPr>
        <w:t>Approach</w:t>
      </w:r>
      <w:r w:rsidR="002A4C60">
        <w:rPr>
          <w:rFonts w:ascii="Arial Narrow" w:eastAsiaTheme="minorEastAsia" w:hAnsi="Arial Narrow" w:cs="Times New Roman"/>
          <w:b/>
          <w:bCs/>
        </w:rPr>
        <w:t>/Instructional Method</w:t>
      </w:r>
      <w:r w:rsidRPr="00CC54FA">
        <w:rPr>
          <w:rFonts w:ascii="Arial Narrow" w:eastAsiaTheme="minorEastAsia" w:hAnsi="Arial Narrow" w:cs="Times New Roman"/>
        </w:rPr>
        <w:t>:</w:t>
      </w:r>
    </w:p>
    <w:p w14:paraId="6272269F" w14:textId="77777777" w:rsidR="00CC54FA" w:rsidRPr="00CC54FA" w:rsidRDefault="00863C1C" w:rsidP="00A23970">
      <w:pPr>
        <w:spacing w:after="0" w:line="240" w:lineRule="auto"/>
        <w:rPr>
          <w:rFonts w:ascii="Arial Narrow" w:eastAsia="Times New Roman" w:hAnsi="Arial Narrow" w:cs="Times New Roman"/>
        </w:rPr>
      </w:pPr>
      <w:r w:rsidRPr="00863C1C">
        <w:rPr>
          <w:rFonts w:ascii="Arial Narrow" w:eastAsiaTheme="minorEastAsia" w:hAnsi="Arial Narrow" w:cs="Times New Roman"/>
        </w:rPr>
        <w:t xml:space="preserve">This course is delivered in a blended learning fashion, combining online and on-site learning experiences to facilitate participant learning. An interactive and media-rich online precourse is provided to participants 30 days in advance of an intensive 2-day on-site laboratory weekend.  The online precourse provides an evidence-based </w:t>
      </w:r>
      <w:r w:rsidR="0075693A">
        <w:rPr>
          <w:rFonts w:ascii="Arial Narrow" w:eastAsiaTheme="minorEastAsia" w:hAnsi="Arial Narrow" w:cs="Times New Roman"/>
        </w:rPr>
        <w:t>framework</w:t>
      </w:r>
      <w:r w:rsidRPr="00863C1C">
        <w:rPr>
          <w:rFonts w:ascii="Arial Narrow" w:eastAsiaTheme="minorEastAsia" w:hAnsi="Arial Narrow" w:cs="Times New Roman"/>
        </w:rPr>
        <w:t xml:space="preserve"> of </w:t>
      </w:r>
      <w:r w:rsidR="0075693A">
        <w:rPr>
          <w:rFonts w:ascii="Arial Narrow" w:eastAsiaTheme="minorEastAsia" w:hAnsi="Arial Narrow" w:cs="Times New Roman"/>
        </w:rPr>
        <w:t>best-practices in pediatric neurorehabilitation u</w:t>
      </w:r>
      <w:r w:rsidRPr="0075693A">
        <w:rPr>
          <w:rFonts w:ascii="Arial Narrow" w:eastAsiaTheme="minorEastAsia" w:hAnsi="Arial Narrow" w:cs="Times New Roman"/>
        </w:rPr>
        <w:t xml:space="preserve">sing a series of web-based video presentations, key evidence summaries and primary research articles. The on-site lab intensive weekend provides participants with hands-on demonstration and practice of selected examination and </w:t>
      </w:r>
      <w:r w:rsidR="0075693A">
        <w:rPr>
          <w:rFonts w:ascii="Arial Narrow" w:eastAsiaTheme="minorEastAsia" w:hAnsi="Arial Narrow" w:cs="Times New Roman"/>
        </w:rPr>
        <w:t xml:space="preserve">intervention techniques </w:t>
      </w:r>
      <w:r w:rsidR="00A23970">
        <w:rPr>
          <w:rFonts w:ascii="Arial Narrow" w:eastAsiaTheme="minorEastAsia" w:hAnsi="Arial Narrow" w:cs="Times New Roman"/>
        </w:rPr>
        <w:t xml:space="preserve">to equip therapists with the latest evidence-based therapy practices. Specific emphasis is placed on the understanding of the complete clinical and contextual profile of the child and their family – going beyond the traditional diagnostic or impairment-based model. </w:t>
      </w:r>
      <w:r w:rsidRPr="0075693A">
        <w:rPr>
          <w:rFonts w:ascii="Arial Narrow" w:eastAsiaTheme="minorEastAsia" w:hAnsi="Arial Narrow" w:cs="Times New Roman"/>
        </w:rPr>
        <w:t xml:space="preserve"> </w:t>
      </w:r>
      <w:r w:rsidRPr="00A23970">
        <w:rPr>
          <w:rFonts w:ascii="Arial Narrow" w:eastAsiaTheme="minorEastAsia" w:hAnsi="Arial Narrow" w:cs="Times New Roman"/>
        </w:rPr>
        <w:t>The course will have a student to faculty ratio of no greater than 18:1 (16:1 in California).  An online post-test and on-site skill assessment are used to reinforce course objectives and assess learning.</w:t>
      </w:r>
      <w:r w:rsidRPr="00863C1C">
        <w:rPr>
          <w:rFonts w:ascii="Arial Narrow" w:eastAsiaTheme="minorEastAsia" w:hAnsi="Arial Narrow" w:cs="Times New Roman"/>
        </w:rPr>
        <w:t xml:space="preserve"> Successful completion of this course requires 80% or higher on post-test, skills assessment and attendance</w:t>
      </w:r>
      <w:r w:rsidR="00A23970">
        <w:rPr>
          <w:rFonts w:ascii="Arial Narrow" w:eastAsiaTheme="minorEastAsia" w:hAnsi="Arial Narrow" w:cs="Times New Roman"/>
        </w:rPr>
        <w:t xml:space="preserve"> </w:t>
      </w:r>
      <w:r w:rsidRPr="00863C1C">
        <w:rPr>
          <w:rFonts w:ascii="Arial Narrow" w:eastAsiaTheme="minorEastAsia" w:hAnsi="Arial Narrow" w:cs="Times New Roman"/>
        </w:rPr>
        <w:t>at each onsite day.</w:t>
      </w:r>
      <w:r w:rsidR="00CC54FA" w:rsidRPr="00CC54FA">
        <w:rPr>
          <w:rFonts w:ascii="Arial Narrow" w:eastAsiaTheme="minorEastAsia" w:hAnsi="Arial Narrow" w:cs="Times New Roman"/>
        </w:rPr>
        <w:br/>
      </w:r>
    </w:p>
    <w:p w14:paraId="50409440" w14:textId="77777777" w:rsidR="00CC54FA" w:rsidRPr="00CC54FA" w:rsidRDefault="00B23202" w:rsidP="00CC54FA">
      <w:pPr>
        <w:spacing w:after="0" w:line="240" w:lineRule="auto"/>
        <w:jc w:val="both"/>
        <w:rPr>
          <w:rFonts w:ascii="Arial Narrow" w:eastAsiaTheme="minorEastAsia" w:hAnsi="Arial Narrow" w:cs="Times New Roman"/>
        </w:rPr>
      </w:pPr>
      <w:r>
        <w:rPr>
          <w:rFonts w:ascii="Arial Narrow" w:eastAsiaTheme="minorEastAsia" w:hAnsi="Arial Narrow" w:cs="Times New Roman"/>
          <w:b/>
          <w:bCs/>
        </w:rPr>
        <w:t xml:space="preserve">Objectives: </w:t>
      </w:r>
      <w:r w:rsidR="00CC54FA" w:rsidRPr="00CC54FA">
        <w:rPr>
          <w:rFonts w:ascii="Arial Narrow" w:eastAsiaTheme="minorEastAsia" w:hAnsi="Arial Narrow" w:cs="Times New Roman"/>
        </w:rPr>
        <w:br/>
      </w:r>
      <w:r w:rsidR="00CC54FA" w:rsidRPr="00CC54FA">
        <w:rPr>
          <w:rFonts w:ascii="Arial Narrow" w:eastAsiaTheme="minorEastAsia" w:hAnsi="Arial Narrow" w:cs="Times New Roman"/>
          <w:b/>
          <w:bCs/>
          <w:u w:val="single"/>
        </w:rPr>
        <w:t>Upon completing this course, you'll be able to:</w:t>
      </w:r>
      <w:r w:rsidR="00CC54FA" w:rsidRPr="00CC54FA">
        <w:rPr>
          <w:rFonts w:ascii="Arial Narrow" w:eastAsiaTheme="minorEastAsia" w:hAnsi="Arial Narrow" w:cs="Times New Roman"/>
        </w:rPr>
        <w:t xml:space="preserve"> </w:t>
      </w:r>
    </w:p>
    <w:p w14:paraId="58844A11" w14:textId="77777777" w:rsidR="00A23970" w:rsidRPr="006102EB" w:rsidRDefault="00A23970" w:rsidP="00A23970">
      <w:pPr>
        <w:numPr>
          <w:ilvl w:val="0"/>
          <w:numId w:val="18"/>
        </w:numPr>
        <w:tabs>
          <w:tab w:val="left" w:pos="2505"/>
        </w:tabs>
        <w:rPr>
          <w:rFonts w:ascii="Libre Baskerville" w:hAnsi="Libre Baskerville"/>
          <w:sz w:val="24"/>
          <w:szCs w:val="24"/>
        </w:rPr>
      </w:pPr>
      <w:r w:rsidRPr="006102EB">
        <w:rPr>
          <w:rFonts w:ascii="Libre Baskerville" w:hAnsi="Libre Baskerville"/>
          <w:sz w:val="24"/>
          <w:szCs w:val="24"/>
        </w:rPr>
        <w:t>Integrate knowledge of foundational sciences related to structure, normal neuromotor development and maturation, movement dysfunction, pathological processes associated with common pediatric neurologic conditions to enhance functional outcomes.</w:t>
      </w:r>
    </w:p>
    <w:p w14:paraId="661A60D0" w14:textId="77777777" w:rsidR="00A23970" w:rsidRPr="006102EB" w:rsidRDefault="002E65AD" w:rsidP="00A23970">
      <w:pPr>
        <w:numPr>
          <w:ilvl w:val="0"/>
          <w:numId w:val="18"/>
        </w:numPr>
        <w:tabs>
          <w:tab w:val="left" w:pos="2505"/>
        </w:tabs>
        <w:rPr>
          <w:rFonts w:ascii="Libre Baskerville" w:hAnsi="Libre Baskerville"/>
          <w:sz w:val="24"/>
          <w:szCs w:val="24"/>
        </w:rPr>
      </w:pPr>
      <w:r>
        <w:rPr>
          <w:rFonts w:ascii="Libre Baskerville" w:hAnsi="Libre Baskerville"/>
          <w:sz w:val="24"/>
          <w:szCs w:val="24"/>
        </w:rPr>
        <w:t>Implement</w:t>
      </w:r>
      <w:r w:rsidR="00A23970" w:rsidRPr="006102EB">
        <w:rPr>
          <w:rFonts w:ascii="Libre Baskerville" w:hAnsi="Libre Baskerville"/>
          <w:sz w:val="24"/>
          <w:szCs w:val="24"/>
        </w:rPr>
        <w:t xml:space="preserve"> a systematic examination by history and systems review, including appropriate selection and prioritization of tests and measures, to guide evaluation, diagnosis/evaluation, intervention, and referral as needed for pediatric patients with selected neuromuscular dysfunction.</w:t>
      </w:r>
    </w:p>
    <w:p w14:paraId="1D010852" w14:textId="77777777" w:rsidR="00A23970" w:rsidRPr="006102EB" w:rsidRDefault="00A23970" w:rsidP="00A23970">
      <w:pPr>
        <w:numPr>
          <w:ilvl w:val="0"/>
          <w:numId w:val="18"/>
        </w:numPr>
        <w:tabs>
          <w:tab w:val="left" w:pos="2505"/>
        </w:tabs>
        <w:rPr>
          <w:rFonts w:ascii="Libre Baskerville" w:hAnsi="Libre Baskerville"/>
          <w:sz w:val="24"/>
          <w:szCs w:val="24"/>
        </w:rPr>
      </w:pPr>
      <w:r w:rsidRPr="006102EB">
        <w:rPr>
          <w:rFonts w:ascii="Libre Baskerville" w:hAnsi="Libre Baskerville"/>
          <w:sz w:val="24"/>
          <w:szCs w:val="24"/>
        </w:rPr>
        <w:t>Interpret examination data to link impairments, functional limitations, and psychosocial factors to the patient’s and family/caregiver’s expressed goals.</w:t>
      </w:r>
    </w:p>
    <w:p w14:paraId="4BA8F5D3" w14:textId="77777777" w:rsidR="00A23970" w:rsidRPr="006102EB" w:rsidRDefault="00A23970" w:rsidP="00A23970">
      <w:pPr>
        <w:numPr>
          <w:ilvl w:val="0"/>
          <w:numId w:val="18"/>
        </w:numPr>
        <w:tabs>
          <w:tab w:val="left" w:pos="2505"/>
        </w:tabs>
        <w:rPr>
          <w:rFonts w:ascii="Libre Baskerville" w:hAnsi="Libre Baskerville"/>
          <w:sz w:val="24"/>
          <w:szCs w:val="24"/>
        </w:rPr>
      </w:pPr>
      <w:r w:rsidRPr="006102EB">
        <w:rPr>
          <w:rFonts w:ascii="Libre Baskerville" w:hAnsi="Libre Baskerville"/>
          <w:sz w:val="24"/>
          <w:szCs w:val="24"/>
        </w:rPr>
        <w:t>Interpret data from an examination to develop a differential diagnosis, to identify movement system impairments/functional limitations amenable to intervention or to determine need for additional services for pediatric patients with selected neuromuscular dysfunction</w:t>
      </w:r>
    </w:p>
    <w:p w14:paraId="2BEB76CC" w14:textId="77777777" w:rsidR="00A23970" w:rsidRPr="006102EB" w:rsidRDefault="00A23970" w:rsidP="00A23970">
      <w:pPr>
        <w:numPr>
          <w:ilvl w:val="0"/>
          <w:numId w:val="18"/>
        </w:numPr>
        <w:tabs>
          <w:tab w:val="left" w:pos="2505"/>
        </w:tabs>
        <w:rPr>
          <w:rFonts w:ascii="Libre Baskerville" w:hAnsi="Libre Baskerville"/>
          <w:sz w:val="24"/>
          <w:szCs w:val="24"/>
        </w:rPr>
      </w:pPr>
      <w:r w:rsidRPr="006102EB">
        <w:rPr>
          <w:rFonts w:ascii="Libre Baskerville" w:hAnsi="Libre Baskerville"/>
          <w:sz w:val="24"/>
          <w:szCs w:val="24"/>
        </w:rPr>
        <w:t>Develop appropriate plans of care to achieve optimal level of function for pediatric patients with selected neuromuscular dysfunction.</w:t>
      </w:r>
    </w:p>
    <w:p w14:paraId="03392D1B" w14:textId="77777777" w:rsidR="00A23970" w:rsidRPr="006102EB" w:rsidRDefault="00A23970" w:rsidP="00A23970">
      <w:pPr>
        <w:numPr>
          <w:ilvl w:val="0"/>
          <w:numId w:val="18"/>
        </w:numPr>
        <w:tabs>
          <w:tab w:val="left" w:pos="2505"/>
        </w:tabs>
        <w:rPr>
          <w:rFonts w:ascii="Libre Baskerville" w:hAnsi="Libre Baskerville"/>
          <w:sz w:val="24"/>
          <w:szCs w:val="24"/>
        </w:rPr>
      </w:pPr>
      <w:r w:rsidRPr="006102EB">
        <w:rPr>
          <w:rFonts w:ascii="Libre Baskerville" w:hAnsi="Libre Baskerville"/>
          <w:sz w:val="24"/>
          <w:szCs w:val="24"/>
        </w:rPr>
        <w:t>Select appropriate measures to determine global outcomes including effectiveness of intervention and impact on quality of life for pediatric patient with neuromuscular dysfunction.</w:t>
      </w:r>
    </w:p>
    <w:p w14:paraId="438412BD" w14:textId="77777777" w:rsidR="00CC54FA" w:rsidRPr="00A23970" w:rsidRDefault="00CC54FA" w:rsidP="00A23970">
      <w:pPr>
        <w:pStyle w:val="ListParagraph"/>
        <w:spacing w:after="0" w:line="240" w:lineRule="auto"/>
        <w:jc w:val="both"/>
        <w:rPr>
          <w:rFonts w:ascii="Arial Narrow" w:eastAsiaTheme="minorEastAsia" w:hAnsi="Arial Narrow" w:cs="Times New Roman"/>
        </w:rPr>
      </w:pPr>
    </w:p>
    <w:p w14:paraId="3CCFC3C4" w14:textId="77777777" w:rsidR="00CC54FA" w:rsidRDefault="00CC54FA" w:rsidP="00CC54FA">
      <w:pPr>
        <w:spacing w:before="100" w:beforeAutospacing="1" w:after="100" w:afterAutospacing="1"/>
        <w:jc w:val="both"/>
        <w:rPr>
          <w:rFonts w:ascii="Arial Narrow" w:hAnsi="Arial Narrow" w:cs="Times New Roman"/>
          <w:b/>
          <w:bCs/>
        </w:rPr>
      </w:pPr>
      <w:r w:rsidRPr="00CC54FA">
        <w:rPr>
          <w:rFonts w:ascii="Arial Narrow" w:hAnsi="Arial Narrow" w:cs="Times New Roman"/>
          <w:b/>
          <w:bCs/>
        </w:rPr>
        <w:t>Target Audience</w:t>
      </w:r>
      <w:r w:rsidR="00863C1C">
        <w:rPr>
          <w:rFonts w:ascii="Arial Narrow" w:hAnsi="Arial Narrow" w:cs="Times New Roman"/>
          <w:b/>
          <w:bCs/>
        </w:rPr>
        <w:t xml:space="preserve">: </w:t>
      </w:r>
      <w:r w:rsidR="00863C1C" w:rsidRPr="00863C1C">
        <w:rPr>
          <w:rFonts w:ascii="Arial Narrow" w:hAnsi="Arial Narrow" w:cs="Times New Roman"/>
          <w:bCs/>
        </w:rPr>
        <w:t>Intermediate level course open to licensed</w:t>
      </w:r>
      <w:r w:rsidR="00121F72">
        <w:rPr>
          <w:rFonts w:ascii="Arial Narrow" w:hAnsi="Arial Narrow" w:cs="Times New Roman"/>
          <w:bCs/>
        </w:rPr>
        <w:t xml:space="preserve"> occupational and</w:t>
      </w:r>
      <w:r w:rsidR="00863C1C" w:rsidRPr="00863C1C">
        <w:rPr>
          <w:rFonts w:ascii="Arial Narrow" w:hAnsi="Arial Narrow" w:cs="Times New Roman"/>
          <w:bCs/>
        </w:rPr>
        <w:t xml:space="preserve"> physical therapists</w:t>
      </w:r>
    </w:p>
    <w:p w14:paraId="5A490651" w14:textId="77777777" w:rsidR="002A4C60" w:rsidRPr="00863C1C" w:rsidRDefault="002A4C60" w:rsidP="00CC54FA">
      <w:pPr>
        <w:spacing w:before="100" w:beforeAutospacing="1" w:after="100" w:afterAutospacing="1"/>
        <w:jc w:val="both"/>
        <w:rPr>
          <w:rFonts w:ascii="Arial Narrow" w:hAnsi="Arial Narrow" w:cs="Times New Roman"/>
        </w:rPr>
      </w:pPr>
      <w:r w:rsidRPr="002A4C60">
        <w:rPr>
          <w:rFonts w:ascii="Arial Narrow" w:hAnsi="Arial Narrow" w:cs="Times New Roman"/>
          <w:b/>
        </w:rPr>
        <w:t>Contact/CEU Hours:</w:t>
      </w:r>
      <w:r w:rsidR="00863C1C">
        <w:rPr>
          <w:rFonts w:ascii="Arial Narrow" w:hAnsi="Arial Narrow" w:cs="Times New Roman"/>
          <w:b/>
        </w:rPr>
        <w:t xml:space="preserve">  </w:t>
      </w:r>
      <w:r w:rsidR="00863C1C" w:rsidRPr="00863C1C">
        <w:rPr>
          <w:rFonts w:ascii="Arial Narrow" w:hAnsi="Arial Narrow" w:cs="Times New Roman"/>
        </w:rPr>
        <w:t>24 contact hours (8 online and 16 on-site) from EIM Institute of Health Professions</w:t>
      </w:r>
    </w:p>
    <w:p w14:paraId="4044723A" w14:textId="77777777" w:rsidR="00CC54FA" w:rsidRPr="00863C1C" w:rsidRDefault="00CC54FA" w:rsidP="00CC54FA">
      <w:pPr>
        <w:spacing w:before="100" w:beforeAutospacing="1" w:after="100" w:afterAutospacing="1"/>
        <w:jc w:val="both"/>
        <w:rPr>
          <w:rFonts w:ascii="Arial Narrow" w:hAnsi="Arial Narrow" w:cs="Times New Roman"/>
          <w:bCs/>
        </w:rPr>
      </w:pPr>
      <w:r>
        <w:rPr>
          <w:rFonts w:ascii="Arial Narrow" w:hAnsi="Arial Narrow" w:cs="Times New Roman"/>
          <w:b/>
          <w:bCs/>
        </w:rPr>
        <w:t>EIM</w:t>
      </w:r>
      <w:r w:rsidRPr="00CC54FA">
        <w:rPr>
          <w:rFonts w:ascii="Arial Narrow" w:hAnsi="Arial Narrow" w:cs="Times New Roman"/>
          <w:b/>
          <w:bCs/>
        </w:rPr>
        <w:t xml:space="preserve"> Program Applicability</w:t>
      </w:r>
      <w:r w:rsidR="00863C1C">
        <w:rPr>
          <w:rFonts w:ascii="Arial Narrow" w:hAnsi="Arial Narrow" w:cs="Times New Roman"/>
          <w:b/>
          <w:bCs/>
        </w:rPr>
        <w:t xml:space="preserve">:  </w:t>
      </w:r>
      <w:r w:rsidR="00863C1C" w:rsidRPr="00863C1C">
        <w:rPr>
          <w:rFonts w:ascii="Arial Narrow" w:hAnsi="Arial Narrow" w:cs="Times New Roman"/>
          <w:bCs/>
        </w:rPr>
        <w:t xml:space="preserve">None.  This course must be taken in conjunction with an 8-week online management course to earn constructive credit towards EIM's </w:t>
      </w:r>
      <w:r w:rsidR="00121F72">
        <w:rPr>
          <w:rFonts w:ascii="Arial Narrow" w:hAnsi="Arial Narrow" w:cs="Times New Roman"/>
          <w:bCs/>
        </w:rPr>
        <w:t xml:space="preserve">Certificate in Pediatric Practice. </w:t>
      </w:r>
    </w:p>
    <w:p w14:paraId="1CDEF284" w14:textId="77777777" w:rsidR="00CC54FA" w:rsidRPr="00CC54FA" w:rsidRDefault="00CC54FA" w:rsidP="00CC54FA">
      <w:pPr>
        <w:spacing w:before="100" w:beforeAutospacing="1" w:after="100" w:afterAutospacing="1"/>
        <w:jc w:val="both"/>
        <w:rPr>
          <w:rFonts w:ascii="Arial Narrow" w:hAnsi="Arial Narrow" w:cs="Times New Roman"/>
        </w:rPr>
      </w:pPr>
      <w:r w:rsidRPr="00CC54FA">
        <w:rPr>
          <w:rFonts w:ascii="Arial Narrow" w:hAnsi="Arial Narrow" w:cs="Times New Roman"/>
          <w:b/>
          <w:bCs/>
        </w:rPr>
        <w:lastRenderedPageBreak/>
        <w:t>Prerequisites:</w:t>
      </w:r>
      <w:r w:rsidRPr="00CC54FA">
        <w:rPr>
          <w:rFonts w:ascii="Arial Narrow" w:hAnsi="Arial Narrow" w:cs="Times New Roman"/>
        </w:rPr>
        <w:t xml:space="preserve"> </w:t>
      </w:r>
      <w:r w:rsidR="00863C1C">
        <w:rPr>
          <w:rFonts w:ascii="Arial Narrow" w:hAnsi="Arial Narrow" w:cs="Times New Roman"/>
        </w:rPr>
        <w:t>None</w:t>
      </w:r>
    </w:p>
    <w:p w14:paraId="300A6475"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b/>
          <w:bCs/>
        </w:rPr>
        <w:t>Appropriate dress</w:t>
      </w:r>
      <w:r w:rsidRPr="00CC54FA">
        <w:rPr>
          <w:rFonts w:ascii="Arial Narrow" w:eastAsiaTheme="minorEastAsia" w:hAnsi="Arial Narrow" w:cs="Times New Roman"/>
        </w:rPr>
        <w:t xml:space="preserve">: </w:t>
      </w:r>
      <w:r w:rsidR="00863C1C" w:rsidRPr="00863C1C">
        <w:rPr>
          <w:rFonts w:ascii="Arial Narrow" w:eastAsiaTheme="minorEastAsia" w:hAnsi="Arial Narrow" w:cs="Times New Roman"/>
        </w:rPr>
        <w:t>Participants are asked to bring appropriate attire for lab sessions</w:t>
      </w:r>
      <w:r w:rsidR="00AC7A8C">
        <w:rPr>
          <w:rFonts w:ascii="Arial Narrow" w:eastAsiaTheme="minorEastAsia" w:hAnsi="Arial Narrow" w:cs="Times New Roman"/>
        </w:rPr>
        <w:t xml:space="preserve"> and mindful we will be working with families and their children. </w:t>
      </w:r>
      <w:r w:rsidR="00863C1C" w:rsidRPr="00863C1C">
        <w:rPr>
          <w:rFonts w:ascii="Arial Narrow" w:eastAsiaTheme="minorEastAsia" w:hAnsi="Arial Narrow" w:cs="Times New Roman"/>
        </w:rPr>
        <w:t xml:space="preserve"> (i.e. shorts and t-shirts</w:t>
      </w:r>
      <w:r w:rsidR="00AC7A8C">
        <w:rPr>
          <w:rFonts w:ascii="Arial Narrow" w:eastAsiaTheme="minorEastAsia" w:hAnsi="Arial Narrow" w:cs="Times New Roman"/>
        </w:rPr>
        <w:t xml:space="preserve"> or workout clothes) in </w:t>
      </w:r>
      <w:r w:rsidR="00863C1C" w:rsidRPr="00863C1C">
        <w:rPr>
          <w:rFonts w:ascii="Arial Narrow" w:eastAsiaTheme="minorEastAsia" w:hAnsi="Arial Narrow" w:cs="Times New Roman"/>
        </w:rPr>
        <w:t>air-conditioned environments throughout the day</w:t>
      </w:r>
      <w:r w:rsidR="00AC7A8C">
        <w:rPr>
          <w:rFonts w:ascii="Arial Narrow" w:eastAsiaTheme="minorEastAsia" w:hAnsi="Arial Narrow" w:cs="Times New Roman"/>
        </w:rPr>
        <w:t xml:space="preserve">. </w:t>
      </w:r>
    </w:p>
    <w:p w14:paraId="19BCA051" w14:textId="77777777" w:rsidR="00B23202" w:rsidRDefault="00B23202" w:rsidP="00CC54FA">
      <w:pPr>
        <w:spacing w:after="0" w:line="240" w:lineRule="auto"/>
        <w:jc w:val="both"/>
        <w:rPr>
          <w:rFonts w:ascii="Arial Narrow" w:eastAsiaTheme="minorEastAsia" w:hAnsi="Arial Narrow" w:cs="Times New Roman"/>
          <w:b/>
        </w:rPr>
      </w:pPr>
    </w:p>
    <w:p w14:paraId="745F05A9" w14:textId="77777777" w:rsidR="00CC54FA" w:rsidRPr="00CC54FA" w:rsidRDefault="00CC54FA" w:rsidP="00CC54FA">
      <w:pPr>
        <w:spacing w:after="0" w:line="240" w:lineRule="auto"/>
        <w:jc w:val="both"/>
        <w:rPr>
          <w:rFonts w:ascii="Arial Narrow" w:eastAsiaTheme="minorEastAsia" w:hAnsi="Arial Narrow" w:cs="Times New Roman"/>
          <w:b/>
        </w:rPr>
      </w:pPr>
      <w:r w:rsidRPr="00CC54FA">
        <w:rPr>
          <w:rFonts w:ascii="Arial Narrow" w:eastAsiaTheme="minorEastAsia" w:hAnsi="Arial Narrow" w:cs="Times New Roman"/>
          <w:b/>
        </w:rPr>
        <w:t>Course content:</w:t>
      </w:r>
    </w:p>
    <w:p w14:paraId="7C69141C" w14:textId="77777777" w:rsidR="00CC54FA" w:rsidRPr="00CC54FA" w:rsidRDefault="00CC54FA" w:rsidP="00CC54FA">
      <w:pPr>
        <w:spacing w:after="0" w:line="240" w:lineRule="auto"/>
        <w:jc w:val="both"/>
        <w:rPr>
          <w:rFonts w:ascii="Arial Narrow" w:eastAsiaTheme="minorEastAsia" w:hAnsi="Arial Narrow" w:cs="Times New Roman"/>
          <w:b/>
        </w:rPr>
      </w:pPr>
    </w:p>
    <w:p w14:paraId="66356FC7" w14:textId="77777777" w:rsidR="00CC54FA" w:rsidRPr="00CC54FA" w:rsidRDefault="00CC54FA" w:rsidP="00CC54FA">
      <w:pPr>
        <w:numPr>
          <w:ilvl w:val="0"/>
          <w:numId w:val="10"/>
        </w:num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 xml:space="preserve">All online content will be delivered through Moodle, the online learning platform. You will receive your login information with your program/course registration. </w:t>
      </w:r>
    </w:p>
    <w:p w14:paraId="2B0E1E01" w14:textId="77777777" w:rsidR="00CC54FA" w:rsidRPr="00CC54FA" w:rsidRDefault="00CC54FA" w:rsidP="00CC54FA">
      <w:pPr>
        <w:numPr>
          <w:ilvl w:val="0"/>
          <w:numId w:val="10"/>
        </w:num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The course syllabus contains everything you need including weekly instructions.</w:t>
      </w:r>
    </w:p>
    <w:p w14:paraId="57A1D7BD" w14:textId="77777777" w:rsidR="00CC54FA" w:rsidRPr="00CC54FA" w:rsidRDefault="00CC54FA" w:rsidP="00CC54FA">
      <w:pPr>
        <w:numPr>
          <w:ilvl w:val="0"/>
          <w:numId w:val="10"/>
        </w:num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The recorded lectures are posted in Moodle</w:t>
      </w:r>
    </w:p>
    <w:p w14:paraId="76DE6385" w14:textId="77777777" w:rsidR="00CC54FA" w:rsidRPr="00CC54FA" w:rsidRDefault="00CC54FA" w:rsidP="00CC54FA">
      <w:pPr>
        <w:numPr>
          <w:ilvl w:val="0"/>
          <w:numId w:val="10"/>
        </w:num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The required readings are also found in the corresponding Dropbox folder.</w:t>
      </w:r>
    </w:p>
    <w:p w14:paraId="4C9CDACE" w14:textId="77777777" w:rsidR="00CC54FA" w:rsidRPr="00CC54FA" w:rsidRDefault="00CC54FA" w:rsidP="00CC54FA">
      <w:pPr>
        <w:spacing w:after="0" w:line="240" w:lineRule="auto"/>
        <w:jc w:val="both"/>
        <w:rPr>
          <w:rFonts w:ascii="Arial Narrow" w:eastAsiaTheme="minorEastAsia" w:hAnsi="Arial Narrow" w:cs="Times New Roman"/>
        </w:rPr>
      </w:pPr>
    </w:p>
    <w:p w14:paraId="3882E37C" w14:textId="77777777" w:rsidR="00B174AF" w:rsidRDefault="00B174AF">
      <w:pPr>
        <w:rPr>
          <w:rFonts w:ascii="Arial Narrow" w:eastAsiaTheme="minorEastAsia" w:hAnsi="Arial Narrow" w:cs="Times New Roman"/>
          <w:b/>
        </w:rPr>
      </w:pPr>
      <w:r>
        <w:rPr>
          <w:rFonts w:ascii="Arial Narrow" w:eastAsiaTheme="minorEastAsia" w:hAnsi="Arial Narrow" w:cs="Times New Roman"/>
          <w:b/>
        </w:rPr>
        <w:br w:type="page"/>
      </w:r>
    </w:p>
    <w:p w14:paraId="105DCCF0" w14:textId="77777777" w:rsidR="00CC54FA" w:rsidRPr="00CC54FA" w:rsidRDefault="00CC54FA" w:rsidP="00CC54FA">
      <w:pPr>
        <w:spacing w:after="0" w:line="240" w:lineRule="auto"/>
        <w:jc w:val="both"/>
        <w:rPr>
          <w:rFonts w:ascii="Arial Narrow" w:eastAsiaTheme="minorEastAsia" w:hAnsi="Arial Narrow" w:cs="Times New Roman"/>
          <w:b/>
        </w:rPr>
      </w:pPr>
      <w:r w:rsidRPr="00CC54FA">
        <w:rPr>
          <w:rFonts w:ascii="Arial Narrow" w:eastAsiaTheme="minorEastAsia" w:hAnsi="Arial Narrow" w:cs="Times New Roman"/>
          <w:b/>
        </w:rPr>
        <w:lastRenderedPageBreak/>
        <w:t>Course materials:</w:t>
      </w:r>
    </w:p>
    <w:p w14:paraId="798BD233" w14:textId="77777777" w:rsidR="00CC54FA" w:rsidRPr="00CC54FA" w:rsidRDefault="00CC54FA" w:rsidP="00CC54FA">
      <w:pPr>
        <w:spacing w:after="0" w:line="240" w:lineRule="auto"/>
        <w:jc w:val="both"/>
        <w:rPr>
          <w:rFonts w:ascii="Arial Narrow" w:eastAsiaTheme="minorEastAsia" w:hAnsi="Arial Narrow" w:cs="Times New Roman"/>
        </w:rPr>
      </w:pPr>
    </w:p>
    <w:p w14:paraId="040BE584" w14:textId="77777777" w:rsidR="00CC54FA" w:rsidRPr="00CC54FA" w:rsidRDefault="00CC54FA" w:rsidP="00CC54FA">
      <w:pPr>
        <w:spacing w:after="0" w:line="240" w:lineRule="auto"/>
        <w:jc w:val="both"/>
        <w:rPr>
          <w:rFonts w:ascii="Arial Narrow" w:eastAsiaTheme="minorEastAsia" w:hAnsi="Arial Narrow" w:cs="Times New Roman"/>
          <w:u w:val="single"/>
        </w:rPr>
      </w:pPr>
      <w:r w:rsidRPr="00CC54FA">
        <w:rPr>
          <w:rFonts w:ascii="Arial Narrow" w:eastAsiaTheme="minorEastAsia" w:hAnsi="Arial Narrow" w:cs="Times New Roman"/>
          <w:u w:val="single"/>
        </w:rPr>
        <w:t>Readings/Articles</w:t>
      </w:r>
    </w:p>
    <w:p w14:paraId="5770BD83"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Required and supplementary articles are listed in each weekly module and can be downloaded for viewing and saving to your personal library from the Dropbox link available in the course in the EIM Moodle Learning Management System. Each week will have its own folder in Dropbox for the course.</w:t>
      </w:r>
    </w:p>
    <w:p w14:paraId="1B232C26" w14:textId="77777777" w:rsidR="00CC54FA" w:rsidRPr="00CC54FA" w:rsidRDefault="00CC54FA" w:rsidP="00CC54FA">
      <w:pPr>
        <w:spacing w:after="0" w:line="240" w:lineRule="auto"/>
        <w:jc w:val="both"/>
        <w:rPr>
          <w:rFonts w:ascii="Arial Narrow" w:eastAsiaTheme="minorEastAsia" w:hAnsi="Arial Narrow" w:cs="Times New Roman"/>
        </w:rPr>
      </w:pPr>
    </w:p>
    <w:p w14:paraId="2F617450" w14:textId="77777777" w:rsidR="00CC54FA" w:rsidRPr="00CC54FA" w:rsidRDefault="00CC54FA" w:rsidP="00CC54FA">
      <w:pPr>
        <w:spacing w:after="0" w:line="240" w:lineRule="auto"/>
        <w:jc w:val="both"/>
        <w:rPr>
          <w:rFonts w:ascii="Arial Narrow" w:eastAsiaTheme="minorEastAsia" w:hAnsi="Arial Narrow" w:cs="Times New Roman"/>
          <w:u w:val="single"/>
        </w:rPr>
      </w:pPr>
      <w:r w:rsidRPr="00CC54FA">
        <w:rPr>
          <w:rFonts w:ascii="Arial Narrow" w:eastAsiaTheme="minorEastAsia" w:hAnsi="Arial Narrow" w:cs="Times New Roman"/>
          <w:u w:val="single"/>
        </w:rPr>
        <w:t>Lectures/Presentations</w:t>
      </w:r>
    </w:p>
    <w:p w14:paraId="48B7F7FB"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Links to the video recorded PowerPoint lectures for each module are located in the corresponding module (you may need to open the dropdown) of the course in the EIM Moodle Learning Management System.</w:t>
      </w:r>
    </w:p>
    <w:p w14:paraId="54B126A2"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 xml:space="preserve">Links to the pdf of the lecture handouts for each module are listed in each weekly module and can be downloaded for viewing and saving to your personal library from the Dropbox link available in the course in the EIM Moodle Learning Management System. Each week will have its own folder in Dropbox for the course. </w:t>
      </w:r>
    </w:p>
    <w:p w14:paraId="2B23F583" w14:textId="77777777" w:rsidR="00CC54FA" w:rsidRPr="00CC54FA" w:rsidRDefault="00CC54FA" w:rsidP="00CC54FA">
      <w:pPr>
        <w:spacing w:after="0" w:line="240" w:lineRule="auto"/>
        <w:jc w:val="both"/>
        <w:rPr>
          <w:rFonts w:ascii="Arial Narrow" w:eastAsiaTheme="minorEastAsia" w:hAnsi="Arial Narrow" w:cs="Times New Roman"/>
        </w:rPr>
      </w:pPr>
    </w:p>
    <w:p w14:paraId="1D8E6235" w14:textId="77777777" w:rsidR="000517CF" w:rsidRDefault="000517CF" w:rsidP="00CC54FA">
      <w:pPr>
        <w:spacing w:after="0" w:line="240" w:lineRule="auto"/>
        <w:jc w:val="both"/>
        <w:rPr>
          <w:rFonts w:ascii="Arial Narrow" w:eastAsiaTheme="minorEastAsia" w:hAnsi="Arial Narrow" w:cs="Times New Roman"/>
        </w:rPr>
      </w:pPr>
    </w:p>
    <w:p w14:paraId="7A5A46E5"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b/>
        </w:rPr>
        <w:t>Course Assignments/Course Schedule</w:t>
      </w:r>
      <w:r w:rsidR="008F1F61">
        <w:rPr>
          <w:rFonts w:ascii="Arial Narrow" w:eastAsiaTheme="minorEastAsia" w:hAnsi="Arial Narrow" w:cs="Times New Roman"/>
          <w:b/>
        </w:rPr>
        <w:t xml:space="preserve"> </w:t>
      </w:r>
    </w:p>
    <w:p w14:paraId="745EAF82" w14:textId="77777777" w:rsidR="00B174AF" w:rsidRPr="001471A2" w:rsidRDefault="00B174AF" w:rsidP="00B174AF">
      <w:pPr>
        <w:rPr>
          <w:rFonts w:eastAsia="Times New Roman" w:cs="Times New Roman"/>
          <w:b/>
        </w:rPr>
      </w:pPr>
      <w:r w:rsidRPr="001471A2">
        <w:rPr>
          <w:rFonts w:eastAsia="Times New Roman" w:cs="Times New Roman"/>
          <w:b/>
        </w:rPr>
        <w:t>Pre-Course (online) Materials</w:t>
      </w:r>
      <w:r>
        <w:rPr>
          <w:rFonts w:eastAsia="Times New Roman" w:cs="Times New Roman"/>
          <w:b/>
        </w:rPr>
        <w:t xml:space="preserve"> &amp; Time Requirements</w:t>
      </w:r>
      <w:r w:rsidRPr="001471A2">
        <w:rPr>
          <w:rFonts w:eastAsia="Times New Roman" w:cs="Times New Roman"/>
          <w:b/>
        </w:rPr>
        <w:t>:</w:t>
      </w:r>
    </w:p>
    <w:p w14:paraId="6F7FF2DA" w14:textId="77777777" w:rsidR="00B174AF" w:rsidRDefault="00B174AF" w:rsidP="00B174AF">
      <w:pPr>
        <w:rPr>
          <w:rFonts w:eastAsia="Times New Roman" w:cs="Times New Roman"/>
        </w:rPr>
      </w:pPr>
      <w:r>
        <w:rPr>
          <w:rFonts w:eastAsia="Times New Roman" w:cs="Times New Roman"/>
        </w:rPr>
        <w:t>The pre-course outline, educational content, and approximate student time requirements are provided below:</w:t>
      </w:r>
    </w:p>
    <w:tbl>
      <w:tblPr>
        <w:tblStyle w:val="TableGrid"/>
        <w:tblW w:w="0" w:type="auto"/>
        <w:tblLayout w:type="fixed"/>
        <w:tblLook w:val="04A0" w:firstRow="1" w:lastRow="0" w:firstColumn="1" w:lastColumn="0" w:noHBand="0" w:noVBand="1"/>
      </w:tblPr>
      <w:tblGrid>
        <w:gridCol w:w="1638"/>
        <w:gridCol w:w="5850"/>
        <w:gridCol w:w="1728"/>
      </w:tblGrid>
      <w:tr w:rsidR="00B174AF" w:rsidRPr="00251052" w14:paraId="50E3BF6C" w14:textId="77777777" w:rsidTr="00C204E9">
        <w:trPr>
          <w:trHeight w:val="341"/>
        </w:trPr>
        <w:tc>
          <w:tcPr>
            <w:tcW w:w="9216" w:type="dxa"/>
            <w:gridSpan w:val="3"/>
            <w:vAlign w:val="center"/>
          </w:tcPr>
          <w:p w14:paraId="1A94934D" w14:textId="77777777" w:rsidR="00B174AF" w:rsidRPr="00F212D8" w:rsidRDefault="00741E3B" w:rsidP="00C204E9">
            <w:pPr>
              <w:rPr>
                <w:rFonts w:eastAsia="Times New Roman" w:cs="Times New Roman"/>
                <w:b/>
                <w:sz w:val="20"/>
                <w:szCs w:val="20"/>
              </w:rPr>
            </w:pPr>
            <w:r>
              <w:rPr>
                <w:rFonts w:eastAsia="Times New Roman" w:cs="Times New Roman"/>
                <w:b/>
                <w:sz w:val="20"/>
                <w:szCs w:val="20"/>
              </w:rPr>
              <w:t xml:space="preserve">Orientation and Framework </w:t>
            </w:r>
          </w:p>
        </w:tc>
      </w:tr>
      <w:tr w:rsidR="00B174AF" w:rsidRPr="00251052" w14:paraId="189AF117" w14:textId="77777777" w:rsidTr="008F4654">
        <w:trPr>
          <w:trHeight w:val="479"/>
        </w:trPr>
        <w:tc>
          <w:tcPr>
            <w:tcW w:w="1638" w:type="dxa"/>
          </w:tcPr>
          <w:p w14:paraId="4C3372E4" w14:textId="77777777" w:rsidR="00B174AF" w:rsidRPr="00251052" w:rsidRDefault="00B174AF" w:rsidP="00C204E9">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6CCB7ACE" w14:textId="77777777" w:rsidR="00936B72" w:rsidRDefault="00936B72" w:rsidP="00936B72">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Orientation: Management of Pediatric Neurologic Conditions Overview</w:t>
            </w:r>
          </w:p>
          <w:p w14:paraId="553312D7" w14:textId="77777777" w:rsidR="00936B72" w:rsidRDefault="00936B72" w:rsidP="00936B72">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Pediatric Neurorehabilitation: State of the Art</w:t>
            </w:r>
          </w:p>
          <w:p w14:paraId="2366B26D" w14:textId="77777777" w:rsidR="00936B72" w:rsidRDefault="00B22783" w:rsidP="00936B72">
            <w:pPr>
              <w:pStyle w:val="ListParagraph"/>
              <w:numPr>
                <w:ilvl w:val="0"/>
                <w:numId w:val="17"/>
              </w:numPr>
              <w:ind w:left="162" w:hanging="180"/>
              <w:rPr>
                <w:rFonts w:eastAsia="Times New Roman" w:cs="Times New Roman"/>
                <w:sz w:val="20"/>
                <w:szCs w:val="20"/>
              </w:rPr>
            </w:pPr>
            <w:hyperlink r:id="rId11" w:history="1">
              <w:r w:rsidR="00936B72" w:rsidRPr="00283110">
                <w:rPr>
                  <w:rStyle w:val="Hyperlink"/>
                  <w:rFonts w:eastAsia="Times New Roman" w:cs="Times New Roman"/>
                  <w:sz w:val="20"/>
                  <w:szCs w:val="20"/>
                </w:rPr>
                <w:t>ICF Educational e-Tool CP Core Sets</w:t>
              </w:r>
            </w:hyperlink>
          </w:p>
          <w:p w14:paraId="35D7BDCA" w14:textId="77777777" w:rsidR="00B174AF" w:rsidRPr="00F212D8" w:rsidRDefault="00B174AF" w:rsidP="00936B72">
            <w:pPr>
              <w:pStyle w:val="ListParagraph"/>
              <w:ind w:left="162"/>
              <w:rPr>
                <w:rFonts w:eastAsia="Times New Roman" w:cs="Times New Roman"/>
                <w:sz w:val="20"/>
                <w:szCs w:val="20"/>
              </w:rPr>
            </w:pPr>
          </w:p>
        </w:tc>
        <w:tc>
          <w:tcPr>
            <w:tcW w:w="1728" w:type="dxa"/>
          </w:tcPr>
          <w:p w14:paraId="3098BF15" w14:textId="77777777" w:rsidR="00B174AF" w:rsidRDefault="008F4654" w:rsidP="008F4654">
            <w:pPr>
              <w:jc w:val="center"/>
              <w:rPr>
                <w:rFonts w:eastAsia="Times New Roman" w:cs="Times New Roman"/>
                <w:sz w:val="20"/>
                <w:szCs w:val="20"/>
              </w:rPr>
            </w:pPr>
            <w:r>
              <w:rPr>
                <w:rFonts w:eastAsia="Times New Roman" w:cs="Times New Roman"/>
                <w:sz w:val="20"/>
                <w:szCs w:val="20"/>
              </w:rPr>
              <w:t>9:57 minutes</w:t>
            </w:r>
          </w:p>
          <w:p w14:paraId="6EE75427" w14:textId="77777777" w:rsidR="008F4654" w:rsidRDefault="008F4654" w:rsidP="008F4654">
            <w:pPr>
              <w:jc w:val="center"/>
              <w:rPr>
                <w:rFonts w:eastAsia="Times New Roman" w:cs="Times New Roman"/>
                <w:sz w:val="20"/>
                <w:szCs w:val="20"/>
              </w:rPr>
            </w:pPr>
          </w:p>
          <w:p w14:paraId="3B945FF8" w14:textId="77777777" w:rsidR="008F4654" w:rsidRDefault="008F4654" w:rsidP="008F4654">
            <w:pPr>
              <w:jc w:val="center"/>
              <w:rPr>
                <w:rFonts w:eastAsia="Times New Roman" w:cs="Times New Roman"/>
                <w:sz w:val="20"/>
                <w:szCs w:val="20"/>
              </w:rPr>
            </w:pPr>
            <w:r>
              <w:rPr>
                <w:rFonts w:eastAsia="Times New Roman" w:cs="Times New Roman"/>
                <w:sz w:val="20"/>
                <w:szCs w:val="20"/>
              </w:rPr>
              <w:t>11:58 minutes</w:t>
            </w:r>
          </w:p>
          <w:p w14:paraId="4632740D" w14:textId="77777777" w:rsidR="008F4654" w:rsidRPr="00251052" w:rsidRDefault="008F4654" w:rsidP="008F4654">
            <w:pPr>
              <w:jc w:val="center"/>
              <w:rPr>
                <w:rFonts w:eastAsia="Times New Roman" w:cs="Times New Roman"/>
                <w:sz w:val="20"/>
                <w:szCs w:val="20"/>
              </w:rPr>
            </w:pPr>
            <w:r>
              <w:rPr>
                <w:rFonts w:eastAsia="Times New Roman" w:cs="Times New Roman"/>
                <w:sz w:val="20"/>
                <w:szCs w:val="20"/>
              </w:rPr>
              <w:t>10:00 minutes</w:t>
            </w:r>
          </w:p>
        </w:tc>
      </w:tr>
      <w:tr w:rsidR="00B174AF" w:rsidRPr="00251052" w14:paraId="65AE37B7" w14:textId="77777777" w:rsidTr="00C204E9">
        <w:tc>
          <w:tcPr>
            <w:tcW w:w="1638" w:type="dxa"/>
          </w:tcPr>
          <w:p w14:paraId="0B1FB515" w14:textId="77777777" w:rsidR="00B174AF" w:rsidRPr="00B07849" w:rsidRDefault="00B174AF" w:rsidP="00C204E9">
            <w:pPr>
              <w:rPr>
                <w:rFonts w:eastAsia="Times New Roman" w:cs="Times New Roman"/>
                <w:sz w:val="20"/>
                <w:szCs w:val="20"/>
              </w:rPr>
            </w:pPr>
            <w:r w:rsidRPr="00B07849">
              <w:rPr>
                <w:rFonts w:eastAsia="Times New Roman" w:cs="Times New Roman"/>
                <w:sz w:val="20"/>
                <w:szCs w:val="20"/>
              </w:rPr>
              <w:t>Required readings</w:t>
            </w:r>
          </w:p>
        </w:tc>
        <w:tc>
          <w:tcPr>
            <w:tcW w:w="5850" w:type="dxa"/>
          </w:tcPr>
          <w:p w14:paraId="5A72A32B" w14:textId="77777777" w:rsidR="00936B72" w:rsidRDefault="00936B72" w:rsidP="00936B72">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Chiarello (2017) p 16-22</w:t>
            </w:r>
          </w:p>
          <w:p w14:paraId="7AEA9FD4" w14:textId="77777777" w:rsidR="00936B72" w:rsidRDefault="00936B72" w:rsidP="00936B72">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Ismael et al (2017)</w:t>
            </w:r>
          </w:p>
          <w:p w14:paraId="160287D9" w14:textId="77777777" w:rsidR="00936B72" w:rsidRDefault="00936B72" w:rsidP="00936B72">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Harris &amp; Winstein (2017) p 2-6</w:t>
            </w:r>
          </w:p>
          <w:p w14:paraId="7A223ECF" w14:textId="77777777" w:rsidR="00936B72" w:rsidRDefault="00936B72" w:rsidP="00936B72">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Kimberley et al (2017) p 23-48</w:t>
            </w:r>
          </w:p>
          <w:p w14:paraId="0ED08722" w14:textId="77777777" w:rsidR="00B174AF" w:rsidRPr="00B07849" w:rsidRDefault="00936B72" w:rsidP="00936B72">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Schiariti et al (2017) p 933-941</w:t>
            </w:r>
          </w:p>
        </w:tc>
        <w:tc>
          <w:tcPr>
            <w:tcW w:w="1728" w:type="dxa"/>
            <w:vAlign w:val="center"/>
          </w:tcPr>
          <w:p w14:paraId="70DCE79C" w14:textId="77777777" w:rsidR="00B174AF" w:rsidRPr="00251052" w:rsidRDefault="00B174AF" w:rsidP="00C204E9">
            <w:pPr>
              <w:jc w:val="center"/>
              <w:rPr>
                <w:rFonts w:eastAsia="Times New Roman" w:cs="Times New Roman"/>
                <w:sz w:val="20"/>
                <w:szCs w:val="20"/>
              </w:rPr>
            </w:pPr>
          </w:p>
        </w:tc>
      </w:tr>
    </w:tbl>
    <w:p w14:paraId="679C64FC" w14:textId="77777777" w:rsidR="00B174AF" w:rsidRDefault="00B174AF" w:rsidP="00B174AF">
      <w:pPr>
        <w:rPr>
          <w:rFonts w:eastAsia="Times New Roman" w:cs="Times New Roman"/>
        </w:rPr>
      </w:pPr>
    </w:p>
    <w:p w14:paraId="75DAFAE6" w14:textId="77777777" w:rsidR="00B174AF" w:rsidRDefault="00B174AF" w:rsidP="00B174AF">
      <w:pPr>
        <w:rPr>
          <w:rFonts w:eastAsia="Times New Roman" w:cs="Times New Roman"/>
        </w:rPr>
      </w:pPr>
    </w:p>
    <w:tbl>
      <w:tblPr>
        <w:tblStyle w:val="TableGrid"/>
        <w:tblW w:w="0" w:type="auto"/>
        <w:tblLayout w:type="fixed"/>
        <w:tblLook w:val="04A0" w:firstRow="1" w:lastRow="0" w:firstColumn="1" w:lastColumn="0" w:noHBand="0" w:noVBand="1"/>
      </w:tblPr>
      <w:tblGrid>
        <w:gridCol w:w="1638"/>
        <w:gridCol w:w="5850"/>
        <w:gridCol w:w="1728"/>
      </w:tblGrid>
      <w:tr w:rsidR="00B174AF" w:rsidRPr="00251052" w14:paraId="3FBDB2CB" w14:textId="77777777" w:rsidTr="00C204E9">
        <w:trPr>
          <w:trHeight w:val="341"/>
        </w:trPr>
        <w:tc>
          <w:tcPr>
            <w:tcW w:w="9216" w:type="dxa"/>
            <w:gridSpan w:val="3"/>
            <w:vAlign w:val="center"/>
          </w:tcPr>
          <w:p w14:paraId="6CD84436" w14:textId="77777777" w:rsidR="00B174AF" w:rsidRPr="00F212D8" w:rsidRDefault="00741E3B" w:rsidP="00C204E9">
            <w:pPr>
              <w:rPr>
                <w:rFonts w:eastAsia="Times New Roman" w:cs="Times New Roman"/>
                <w:b/>
                <w:sz w:val="20"/>
                <w:szCs w:val="20"/>
              </w:rPr>
            </w:pPr>
            <w:r>
              <w:rPr>
                <w:rFonts w:eastAsia="Times New Roman" w:cs="Times New Roman"/>
                <w:b/>
                <w:sz w:val="20"/>
                <w:szCs w:val="20"/>
              </w:rPr>
              <w:t xml:space="preserve">Infant Assessment and Treatment </w:t>
            </w:r>
          </w:p>
        </w:tc>
      </w:tr>
      <w:tr w:rsidR="00B174AF" w:rsidRPr="00251052" w14:paraId="5EF627DB" w14:textId="77777777" w:rsidTr="008F4654">
        <w:trPr>
          <w:trHeight w:val="479"/>
        </w:trPr>
        <w:tc>
          <w:tcPr>
            <w:tcW w:w="1638" w:type="dxa"/>
          </w:tcPr>
          <w:p w14:paraId="6B80F43A" w14:textId="77777777" w:rsidR="00B174AF" w:rsidRPr="00251052" w:rsidRDefault="00B174AF" w:rsidP="00C204E9">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4D265725" w14:textId="77777777" w:rsidR="00283110" w:rsidRDefault="008F4654" w:rsidP="00936B72">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Assessment &amp; Intervention for High Risk Infants</w:t>
            </w:r>
          </w:p>
          <w:p w14:paraId="52EA0CDE" w14:textId="77777777" w:rsidR="008F4654" w:rsidRDefault="008F4654" w:rsidP="00936B72">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Infant Risk Factors</w:t>
            </w:r>
          </w:p>
          <w:p w14:paraId="77FC8619" w14:textId="77777777" w:rsidR="008F4654" w:rsidRDefault="008F4654" w:rsidP="00936B72">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Key Agents for Change</w:t>
            </w:r>
          </w:p>
          <w:p w14:paraId="2DB16B0A" w14:textId="77777777" w:rsidR="008F4654" w:rsidRDefault="008F4654" w:rsidP="00936B72">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Serve and Return</w:t>
            </w:r>
          </w:p>
          <w:p w14:paraId="0A641F26" w14:textId="77777777" w:rsidR="008F4654" w:rsidRPr="00F212D8" w:rsidRDefault="00B22783" w:rsidP="00936B72">
            <w:pPr>
              <w:pStyle w:val="ListParagraph"/>
              <w:numPr>
                <w:ilvl w:val="0"/>
                <w:numId w:val="17"/>
              </w:numPr>
              <w:ind w:left="162" w:hanging="180"/>
              <w:rPr>
                <w:rFonts w:eastAsia="Times New Roman" w:cs="Times New Roman"/>
                <w:sz w:val="20"/>
                <w:szCs w:val="20"/>
              </w:rPr>
            </w:pPr>
            <w:hyperlink r:id="rId12" w:history="1">
              <w:r w:rsidR="008F4654" w:rsidRPr="008F4654">
                <w:rPr>
                  <w:rStyle w:val="Hyperlink"/>
                  <w:rFonts w:eastAsia="Times New Roman" w:cs="Times New Roman"/>
                  <w:sz w:val="20"/>
                  <w:szCs w:val="20"/>
                </w:rPr>
                <w:t>5 Essential Tummy Time Moves</w:t>
              </w:r>
            </w:hyperlink>
          </w:p>
        </w:tc>
        <w:tc>
          <w:tcPr>
            <w:tcW w:w="1728" w:type="dxa"/>
          </w:tcPr>
          <w:p w14:paraId="3E0BB757" w14:textId="77777777" w:rsidR="00283110" w:rsidRDefault="008F4654" w:rsidP="008F4654">
            <w:pPr>
              <w:jc w:val="center"/>
              <w:rPr>
                <w:rFonts w:eastAsia="Times New Roman" w:cs="Times New Roman"/>
                <w:sz w:val="20"/>
                <w:szCs w:val="20"/>
              </w:rPr>
            </w:pPr>
            <w:r>
              <w:rPr>
                <w:rFonts w:eastAsia="Times New Roman" w:cs="Times New Roman"/>
                <w:sz w:val="20"/>
                <w:szCs w:val="20"/>
              </w:rPr>
              <w:t>11:48 minutes</w:t>
            </w:r>
          </w:p>
          <w:p w14:paraId="628569D5" w14:textId="77777777" w:rsidR="008F4654" w:rsidRDefault="008F4654" w:rsidP="008F4654">
            <w:pPr>
              <w:jc w:val="center"/>
              <w:rPr>
                <w:rFonts w:eastAsia="Times New Roman" w:cs="Times New Roman"/>
                <w:sz w:val="20"/>
                <w:szCs w:val="20"/>
              </w:rPr>
            </w:pPr>
            <w:r>
              <w:rPr>
                <w:rFonts w:eastAsia="Times New Roman" w:cs="Times New Roman"/>
                <w:sz w:val="20"/>
                <w:szCs w:val="20"/>
              </w:rPr>
              <w:t>9:09 minutes</w:t>
            </w:r>
          </w:p>
          <w:p w14:paraId="3339F96E" w14:textId="77777777" w:rsidR="008F4654" w:rsidRDefault="008F4654" w:rsidP="008F4654">
            <w:pPr>
              <w:jc w:val="center"/>
              <w:rPr>
                <w:rFonts w:eastAsia="Times New Roman" w:cs="Times New Roman"/>
                <w:sz w:val="20"/>
                <w:szCs w:val="20"/>
              </w:rPr>
            </w:pPr>
            <w:r>
              <w:rPr>
                <w:rFonts w:eastAsia="Times New Roman" w:cs="Times New Roman"/>
                <w:sz w:val="20"/>
                <w:szCs w:val="20"/>
              </w:rPr>
              <w:t>10:11 minutes</w:t>
            </w:r>
          </w:p>
          <w:p w14:paraId="5222BDC3" w14:textId="77777777" w:rsidR="008F4654" w:rsidRDefault="008F4654" w:rsidP="008F4654">
            <w:pPr>
              <w:jc w:val="center"/>
              <w:rPr>
                <w:rFonts w:eastAsia="Times New Roman" w:cs="Times New Roman"/>
                <w:sz w:val="20"/>
                <w:szCs w:val="20"/>
              </w:rPr>
            </w:pPr>
            <w:r>
              <w:rPr>
                <w:rFonts w:eastAsia="Times New Roman" w:cs="Times New Roman"/>
                <w:sz w:val="20"/>
                <w:szCs w:val="20"/>
              </w:rPr>
              <w:t>1:45 minutes</w:t>
            </w:r>
          </w:p>
          <w:p w14:paraId="19D6C2A6" w14:textId="77777777" w:rsidR="008F4654" w:rsidRPr="00251052" w:rsidRDefault="008F4654" w:rsidP="008F4654">
            <w:pPr>
              <w:jc w:val="center"/>
              <w:rPr>
                <w:rFonts w:eastAsia="Times New Roman" w:cs="Times New Roman"/>
                <w:sz w:val="20"/>
                <w:szCs w:val="20"/>
              </w:rPr>
            </w:pPr>
            <w:r>
              <w:rPr>
                <w:rFonts w:eastAsia="Times New Roman" w:cs="Times New Roman"/>
                <w:sz w:val="20"/>
                <w:szCs w:val="20"/>
              </w:rPr>
              <w:t>4:16 minutes</w:t>
            </w:r>
          </w:p>
        </w:tc>
      </w:tr>
      <w:tr w:rsidR="00B174AF" w:rsidRPr="00251052" w14:paraId="07AF180E" w14:textId="77777777" w:rsidTr="00C204E9">
        <w:tc>
          <w:tcPr>
            <w:tcW w:w="1638" w:type="dxa"/>
          </w:tcPr>
          <w:p w14:paraId="2463D653" w14:textId="77777777" w:rsidR="00B174AF" w:rsidRPr="00251052" w:rsidRDefault="00B174AF" w:rsidP="00C204E9">
            <w:pPr>
              <w:rPr>
                <w:rFonts w:eastAsia="Times New Roman" w:cs="Times New Roman"/>
                <w:sz w:val="20"/>
                <w:szCs w:val="20"/>
              </w:rPr>
            </w:pPr>
            <w:r w:rsidRPr="00251052">
              <w:rPr>
                <w:rFonts w:eastAsia="Times New Roman" w:cs="Times New Roman"/>
                <w:sz w:val="20"/>
                <w:szCs w:val="20"/>
              </w:rPr>
              <w:t>Required readings</w:t>
            </w:r>
          </w:p>
        </w:tc>
        <w:tc>
          <w:tcPr>
            <w:tcW w:w="5850" w:type="dxa"/>
          </w:tcPr>
          <w:p w14:paraId="2521F8DC" w14:textId="77777777" w:rsidR="00283110" w:rsidRDefault="008F4654" w:rsidP="00B174AF">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Kilbride et al (2018) p 467-484</w:t>
            </w:r>
          </w:p>
          <w:p w14:paraId="2354C712" w14:textId="77777777" w:rsidR="008F4654" w:rsidRDefault="008F4654" w:rsidP="00B174AF">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Dusing &amp; Harbourne (2010) p 1838-1849</w:t>
            </w:r>
          </w:p>
          <w:p w14:paraId="0665CB65" w14:textId="77777777" w:rsidR="008F4654" w:rsidRDefault="008F4654" w:rsidP="00B174AF">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Lobo &amp; Galloway (2012) p 12-90-1302</w:t>
            </w:r>
          </w:p>
          <w:p w14:paraId="0A388A9B" w14:textId="77777777" w:rsidR="008F4654" w:rsidRPr="00F212D8" w:rsidRDefault="008F4654" w:rsidP="00B174AF">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Surkar et al (2015) p 16-22</w:t>
            </w:r>
          </w:p>
        </w:tc>
        <w:tc>
          <w:tcPr>
            <w:tcW w:w="1728" w:type="dxa"/>
            <w:vAlign w:val="center"/>
          </w:tcPr>
          <w:p w14:paraId="362A1687" w14:textId="77777777" w:rsidR="00B174AF" w:rsidRPr="00251052" w:rsidRDefault="00B174AF" w:rsidP="00C204E9">
            <w:pPr>
              <w:jc w:val="center"/>
              <w:rPr>
                <w:rFonts w:eastAsia="Times New Roman" w:cs="Times New Roman"/>
                <w:sz w:val="20"/>
                <w:szCs w:val="20"/>
              </w:rPr>
            </w:pPr>
          </w:p>
        </w:tc>
      </w:tr>
    </w:tbl>
    <w:p w14:paraId="633A90D9" w14:textId="77777777" w:rsidR="00B174AF" w:rsidRDefault="00B174AF" w:rsidP="00B174AF">
      <w:pPr>
        <w:rPr>
          <w:rFonts w:eastAsia="Times New Roman" w:cs="Times New Roman"/>
        </w:rPr>
      </w:pPr>
    </w:p>
    <w:p w14:paraId="58D3C4C6" w14:textId="77777777" w:rsidR="00B174AF" w:rsidRDefault="00B174AF" w:rsidP="00B174AF">
      <w:pPr>
        <w:rPr>
          <w:rFonts w:eastAsia="Times New Roman" w:cs="Times New Roman"/>
        </w:rPr>
      </w:pPr>
    </w:p>
    <w:tbl>
      <w:tblPr>
        <w:tblStyle w:val="TableGrid"/>
        <w:tblW w:w="0" w:type="auto"/>
        <w:tblLayout w:type="fixed"/>
        <w:tblLook w:val="04A0" w:firstRow="1" w:lastRow="0" w:firstColumn="1" w:lastColumn="0" w:noHBand="0" w:noVBand="1"/>
      </w:tblPr>
      <w:tblGrid>
        <w:gridCol w:w="1638"/>
        <w:gridCol w:w="5850"/>
        <w:gridCol w:w="1728"/>
      </w:tblGrid>
      <w:tr w:rsidR="00B174AF" w:rsidRPr="00251052" w14:paraId="1D75B3AB" w14:textId="77777777" w:rsidTr="00C204E9">
        <w:trPr>
          <w:trHeight w:val="341"/>
        </w:trPr>
        <w:tc>
          <w:tcPr>
            <w:tcW w:w="9216" w:type="dxa"/>
            <w:gridSpan w:val="3"/>
            <w:vAlign w:val="center"/>
          </w:tcPr>
          <w:p w14:paraId="4F30C801" w14:textId="77777777" w:rsidR="00B174AF" w:rsidRPr="00F212D8" w:rsidRDefault="00741E3B" w:rsidP="00C204E9">
            <w:pPr>
              <w:rPr>
                <w:rFonts w:eastAsia="Times New Roman" w:cs="Times New Roman"/>
                <w:b/>
                <w:sz w:val="20"/>
                <w:szCs w:val="20"/>
              </w:rPr>
            </w:pPr>
            <w:r>
              <w:rPr>
                <w:rFonts w:eastAsia="Times New Roman" w:cs="Times New Roman"/>
                <w:b/>
                <w:sz w:val="20"/>
                <w:szCs w:val="20"/>
              </w:rPr>
              <w:t>Cerebral Palsy</w:t>
            </w:r>
          </w:p>
        </w:tc>
      </w:tr>
      <w:tr w:rsidR="00B174AF" w:rsidRPr="00251052" w14:paraId="5DE03EC7" w14:textId="77777777" w:rsidTr="007D5FCF">
        <w:trPr>
          <w:trHeight w:val="479"/>
        </w:trPr>
        <w:tc>
          <w:tcPr>
            <w:tcW w:w="1638" w:type="dxa"/>
          </w:tcPr>
          <w:p w14:paraId="477A70C7" w14:textId="77777777" w:rsidR="00B174AF" w:rsidRPr="00251052" w:rsidRDefault="00B174AF" w:rsidP="00C204E9">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3F454AF9" w14:textId="77777777" w:rsidR="00B174AF" w:rsidRDefault="007D5FCF"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Examination &amp; Evaluation: Children with Cerebral Palsy</w:t>
            </w:r>
          </w:p>
          <w:p w14:paraId="605A13A3" w14:textId="77777777" w:rsidR="007D5FCF" w:rsidRPr="001F677D" w:rsidRDefault="007D5FCF"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Interventions for Children with Cerebral Palsy</w:t>
            </w:r>
          </w:p>
        </w:tc>
        <w:tc>
          <w:tcPr>
            <w:tcW w:w="1728" w:type="dxa"/>
          </w:tcPr>
          <w:p w14:paraId="7AB0449B" w14:textId="77777777" w:rsidR="00B174AF" w:rsidRDefault="007D5FCF" w:rsidP="007D5FCF">
            <w:pPr>
              <w:jc w:val="center"/>
              <w:rPr>
                <w:rFonts w:eastAsia="Times New Roman" w:cs="Times New Roman"/>
                <w:sz w:val="20"/>
                <w:szCs w:val="20"/>
              </w:rPr>
            </w:pPr>
            <w:r>
              <w:rPr>
                <w:rFonts w:eastAsia="Times New Roman" w:cs="Times New Roman"/>
                <w:sz w:val="20"/>
                <w:szCs w:val="20"/>
              </w:rPr>
              <w:t>21:08 minutes</w:t>
            </w:r>
          </w:p>
          <w:p w14:paraId="5744D9D4" w14:textId="77777777" w:rsidR="007D5FCF" w:rsidRDefault="007D5FCF" w:rsidP="007D5FCF">
            <w:pPr>
              <w:jc w:val="center"/>
              <w:rPr>
                <w:rFonts w:eastAsia="Times New Roman" w:cs="Times New Roman"/>
                <w:sz w:val="20"/>
                <w:szCs w:val="20"/>
              </w:rPr>
            </w:pPr>
            <w:r>
              <w:rPr>
                <w:rFonts w:eastAsia="Times New Roman" w:cs="Times New Roman"/>
                <w:sz w:val="20"/>
                <w:szCs w:val="20"/>
              </w:rPr>
              <w:t>20:28 minutes</w:t>
            </w:r>
          </w:p>
          <w:p w14:paraId="07658D09" w14:textId="77777777" w:rsidR="00B174AF" w:rsidRPr="00251052" w:rsidRDefault="00B174AF" w:rsidP="007D5FCF">
            <w:pPr>
              <w:jc w:val="center"/>
              <w:rPr>
                <w:rFonts w:eastAsia="Times New Roman" w:cs="Times New Roman"/>
                <w:sz w:val="20"/>
                <w:szCs w:val="20"/>
              </w:rPr>
            </w:pPr>
          </w:p>
        </w:tc>
      </w:tr>
      <w:tr w:rsidR="00B174AF" w:rsidRPr="00251052" w14:paraId="74AA0539" w14:textId="77777777" w:rsidTr="00C204E9">
        <w:tc>
          <w:tcPr>
            <w:tcW w:w="1638" w:type="dxa"/>
          </w:tcPr>
          <w:p w14:paraId="7ED52E15" w14:textId="77777777" w:rsidR="00B174AF" w:rsidRPr="00B07849" w:rsidRDefault="00B174AF" w:rsidP="00C204E9">
            <w:pPr>
              <w:rPr>
                <w:rFonts w:eastAsia="Times New Roman" w:cs="Times New Roman"/>
                <w:sz w:val="20"/>
                <w:szCs w:val="20"/>
              </w:rPr>
            </w:pPr>
            <w:r w:rsidRPr="00B07849">
              <w:rPr>
                <w:rFonts w:eastAsia="Times New Roman" w:cs="Times New Roman"/>
                <w:sz w:val="20"/>
                <w:szCs w:val="20"/>
              </w:rPr>
              <w:t>Required readings</w:t>
            </w:r>
          </w:p>
        </w:tc>
        <w:tc>
          <w:tcPr>
            <w:tcW w:w="5850" w:type="dxa"/>
          </w:tcPr>
          <w:p w14:paraId="5355DB02" w14:textId="77777777" w:rsidR="00B174AF" w:rsidRDefault="007D5FCF" w:rsidP="00741E3B">
            <w:pPr>
              <w:pStyle w:val="NoSpacing"/>
              <w:numPr>
                <w:ilvl w:val="0"/>
                <w:numId w:val="16"/>
              </w:numPr>
              <w:ind w:left="162" w:hanging="180"/>
              <w:rPr>
                <w:rFonts w:cs="Arial"/>
                <w:sz w:val="20"/>
                <w:szCs w:val="20"/>
              </w:rPr>
            </w:pPr>
            <w:r>
              <w:rPr>
                <w:rFonts w:cs="Arial"/>
                <w:sz w:val="20"/>
                <w:szCs w:val="20"/>
              </w:rPr>
              <w:t>Jeffires et al (2016) p 7-14</w:t>
            </w:r>
          </w:p>
          <w:p w14:paraId="1FBFAD7A" w14:textId="77777777" w:rsidR="007D5FCF" w:rsidRDefault="007D5FCF" w:rsidP="00741E3B">
            <w:pPr>
              <w:pStyle w:val="NoSpacing"/>
              <w:numPr>
                <w:ilvl w:val="0"/>
                <w:numId w:val="16"/>
              </w:numPr>
              <w:ind w:left="162" w:hanging="180"/>
              <w:rPr>
                <w:rFonts w:cs="Arial"/>
                <w:sz w:val="20"/>
                <w:szCs w:val="20"/>
              </w:rPr>
            </w:pPr>
            <w:r>
              <w:rPr>
                <w:rFonts w:cs="Arial"/>
                <w:sz w:val="20"/>
                <w:szCs w:val="20"/>
              </w:rPr>
              <w:t>Novak et al (2013) p</w:t>
            </w:r>
            <w:r w:rsidR="00651E78">
              <w:rPr>
                <w:rFonts w:cs="Arial"/>
                <w:sz w:val="20"/>
                <w:szCs w:val="20"/>
              </w:rPr>
              <w:t xml:space="preserve"> 885-910</w:t>
            </w:r>
          </w:p>
          <w:p w14:paraId="176EDB51" w14:textId="77777777" w:rsidR="00651E78" w:rsidRDefault="00651E78" w:rsidP="00741E3B">
            <w:pPr>
              <w:pStyle w:val="NoSpacing"/>
              <w:numPr>
                <w:ilvl w:val="0"/>
                <w:numId w:val="16"/>
              </w:numPr>
              <w:ind w:left="162" w:hanging="180"/>
              <w:rPr>
                <w:rFonts w:cs="Arial"/>
                <w:sz w:val="20"/>
                <w:szCs w:val="20"/>
              </w:rPr>
            </w:pPr>
            <w:r>
              <w:rPr>
                <w:rFonts w:cs="Arial"/>
                <w:sz w:val="20"/>
                <w:szCs w:val="20"/>
              </w:rPr>
              <w:t>Palisano et al (2009) p 66-71</w:t>
            </w:r>
          </w:p>
          <w:p w14:paraId="12E07C88" w14:textId="77777777" w:rsidR="00651E78" w:rsidRPr="00B07849" w:rsidRDefault="00651E78" w:rsidP="00741E3B">
            <w:pPr>
              <w:pStyle w:val="NoSpacing"/>
              <w:numPr>
                <w:ilvl w:val="0"/>
                <w:numId w:val="16"/>
              </w:numPr>
              <w:ind w:left="162" w:hanging="180"/>
              <w:rPr>
                <w:rFonts w:cs="Arial"/>
                <w:sz w:val="20"/>
                <w:szCs w:val="20"/>
              </w:rPr>
            </w:pPr>
            <w:r>
              <w:rPr>
                <w:rFonts w:cs="Arial"/>
                <w:sz w:val="20"/>
                <w:szCs w:val="20"/>
              </w:rPr>
              <w:t>Rosenbaum et al (2002) p 66-71</w:t>
            </w:r>
          </w:p>
        </w:tc>
        <w:tc>
          <w:tcPr>
            <w:tcW w:w="1728" w:type="dxa"/>
            <w:vAlign w:val="center"/>
          </w:tcPr>
          <w:p w14:paraId="49163988" w14:textId="77777777" w:rsidR="00B174AF" w:rsidRPr="00251052" w:rsidRDefault="00B174AF" w:rsidP="00C204E9">
            <w:pPr>
              <w:jc w:val="center"/>
              <w:rPr>
                <w:rFonts w:eastAsia="Times New Roman" w:cs="Times New Roman"/>
                <w:sz w:val="20"/>
                <w:szCs w:val="20"/>
              </w:rPr>
            </w:pPr>
          </w:p>
        </w:tc>
      </w:tr>
    </w:tbl>
    <w:p w14:paraId="39974E59" w14:textId="77777777" w:rsidR="00B174AF" w:rsidRDefault="00B174AF" w:rsidP="00B174AF">
      <w:pPr>
        <w:rPr>
          <w:rFonts w:eastAsia="Times New Roman" w:cs="Times New Roman"/>
        </w:rPr>
      </w:pPr>
    </w:p>
    <w:p w14:paraId="7CA582DF" w14:textId="77777777" w:rsidR="00B174AF" w:rsidRDefault="00B174AF" w:rsidP="00B174AF">
      <w:pPr>
        <w:rPr>
          <w:rFonts w:eastAsia="Times New Roman" w:cs="Times New Roman"/>
        </w:rPr>
      </w:pPr>
    </w:p>
    <w:tbl>
      <w:tblPr>
        <w:tblStyle w:val="TableGrid"/>
        <w:tblW w:w="0" w:type="auto"/>
        <w:tblLayout w:type="fixed"/>
        <w:tblLook w:val="04A0" w:firstRow="1" w:lastRow="0" w:firstColumn="1" w:lastColumn="0" w:noHBand="0" w:noVBand="1"/>
      </w:tblPr>
      <w:tblGrid>
        <w:gridCol w:w="1638"/>
        <w:gridCol w:w="5850"/>
        <w:gridCol w:w="1728"/>
      </w:tblGrid>
      <w:tr w:rsidR="00B174AF" w:rsidRPr="00251052" w14:paraId="6A932E61" w14:textId="77777777" w:rsidTr="00C204E9">
        <w:trPr>
          <w:trHeight w:val="341"/>
        </w:trPr>
        <w:tc>
          <w:tcPr>
            <w:tcW w:w="9216" w:type="dxa"/>
            <w:gridSpan w:val="3"/>
            <w:vAlign w:val="center"/>
          </w:tcPr>
          <w:p w14:paraId="749A9D58" w14:textId="77777777" w:rsidR="00B174AF" w:rsidRPr="00F212D8" w:rsidRDefault="00741E3B" w:rsidP="00C204E9">
            <w:pPr>
              <w:rPr>
                <w:rFonts w:eastAsia="Times New Roman" w:cs="Times New Roman"/>
                <w:b/>
                <w:sz w:val="20"/>
                <w:szCs w:val="20"/>
              </w:rPr>
            </w:pPr>
            <w:r>
              <w:rPr>
                <w:rFonts w:eastAsia="Times New Roman" w:cs="Times New Roman"/>
                <w:b/>
                <w:sz w:val="20"/>
                <w:szCs w:val="20"/>
              </w:rPr>
              <w:t>Down Syndrome (Hypotonia)</w:t>
            </w:r>
          </w:p>
        </w:tc>
      </w:tr>
      <w:tr w:rsidR="00B174AF" w:rsidRPr="00251052" w14:paraId="6AEC0452" w14:textId="77777777" w:rsidTr="00651E78">
        <w:trPr>
          <w:trHeight w:val="479"/>
        </w:trPr>
        <w:tc>
          <w:tcPr>
            <w:tcW w:w="1638" w:type="dxa"/>
          </w:tcPr>
          <w:p w14:paraId="2B67315B" w14:textId="77777777" w:rsidR="00B174AF" w:rsidRPr="00251052" w:rsidRDefault="00B174AF" w:rsidP="00C204E9">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30DD3C0A" w14:textId="77777777" w:rsidR="00B174AF" w:rsidRDefault="00651E78"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Examination &amp; Evaluation: Children with Hypotonia</w:t>
            </w:r>
          </w:p>
          <w:p w14:paraId="32550627" w14:textId="77777777" w:rsidR="00651E78" w:rsidRPr="00F212D8" w:rsidRDefault="00651E78"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Intervention for Children with Hypotonia</w:t>
            </w:r>
          </w:p>
        </w:tc>
        <w:tc>
          <w:tcPr>
            <w:tcW w:w="1728" w:type="dxa"/>
          </w:tcPr>
          <w:p w14:paraId="02D9DAB1" w14:textId="77777777" w:rsidR="00B174AF" w:rsidRDefault="00651E78" w:rsidP="00651E78">
            <w:pPr>
              <w:jc w:val="center"/>
              <w:rPr>
                <w:rFonts w:eastAsia="Times New Roman" w:cs="Calibri"/>
                <w:color w:val="000000"/>
                <w:sz w:val="20"/>
                <w:szCs w:val="20"/>
              </w:rPr>
            </w:pPr>
            <w:r>
              <w:rPr>
                <w:rFonts w:eastAsia="Times New Roman" w:cs="Calibri"/>
                <w:color w:val="000000"/>
                <w:sz w:val="20"/>
                <w:szCs w:val="20"/>
              </w:rPr>
              <w:t>9:48 minutes</w:t>
            </w:r>
          </w:p>
          <w:p w14:paraId="7AA76794" w14:textId="77777777" w:rsidR="00651E78" w:rsidRDefault="00651E78" w:rsidP="00651E78">
            <w:pPr>
              <w:jc w:val="center"/>
              <w:rPr>
                <w:rFonts w:eastAsia="Times New Roman" w:cs="Calibri"/>
                <w:color w:val="000000"/>
                <w:sz w:val="20"/>
                <w:szCs w:val="20"/>
              </w:rPr>
            </w:pPr>
            <w:r>
              <w:rPr>
                <w:rFonts w:eastAsia="Times New Roman" w:cs="Calibri"/>
                <w:color w:val="000000"/>
                <w:sz w:val="20"/>
                <w:szCs w:val="20"/>
              </w:rPr>
              <w:t>10:46 minutes</w:t>
            </w:r>
          </w:p>
          <w:p w14:paraId="033D8A37" w14:textId="77777777" w:rsidR="00B174AF" w:rsidRPr="00251052" w:rsidRDefault="00B174AF" w:rsidP="00651E78">
            <w:pPr>
              <w:jc w:val="center"/>
              <w:rPr>
                <w:rFonts w:eastAsia="Times New Roman" w:cs="Times New Roman"/>
                <w:sz w:val="20"/>
                <w:szCs w:val="20"/>
              </w:rPr>
            </w:pPr>
          </w:p>
        </w:tc>
      </w:tr>
      <w:tr w:rsidR="00651E78" w:rsidRPr="00251052" w14:paraId="581CA509" w14:textId="77777777" w:rsidTr="00651E78">
        <w:trPr>
          <w:trHeight w:val="479"/>
        </w:trPr>
        <w:tc>
          <w:tcPr>
            <w:tcW w:w="1638" w:type="dxa"/>
          </w:tcPr>
          <w:p w14:paraId="7B6E9B4C" w14:textId="77777777" w:rsidR="00651E78" w:rsidRPr="00251052" w:rsidRDefault="00651E78" w:rsidP="00C204E9">
            <w:pPr>
              <w:rPr>
                <w:rFonts w:eastAsia="Times New Roman" w:cs="Times New Roman"/>
                <w:sz w:val="20"/>
                <w:szCs w:val="20"/>
              </w:rPr>
            </w:pPr>
            <w:r>
              <w:rPr>
                <w:rFonts w:eastAsia="Times New Roman" w:cs="Times New Roman"/>
                <w:sz w:val="20"/>
                <w:szCs w:val="20"/>
              </w:rPr>
              <w:t xml:space="preserve">Required Readings </w:t>
            </w:r>
          </w:p>
        </w:tc>
        <w:tc>
          <w:tcPr>
            <w:tcW w:w="5850" w:type="dxa"/>
          </w:tcPr>
          <w:p w14:paraId="5D48BDE6" w14:textId="77777777" w:rsidR="00651E78" w:rsidRDefault="00651E78"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Martin et al (2005) p 274-282</w:t>
            </w:r>
          </w:p>
          <w:p w14:paraId="4AAA142B" w14:textId="77777777" w:rsidR="00651E78" w:rsidRDefault="00651E78"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Martin et al (2007) p 217-226</w:t>
            </w:r>
          </w:p>
          <w:p w14:paraId="79D499DF" w14:textId="77777777" w:rsidR="00651E78" w:rsidRDefault="00651E78" w:rsidP="00B174AF">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Paleg et al (2018) p 57-70</w:t>
            </w:r>
          </w:p>
          <w:p w14:paraId="6C20018F" w14:textId="77777777" w:rsidR="00651E78" w:rsidRPr="00651E78" w:rsidRDefault="00651E78" w:rsidP="00651E78">
            <w:pPr>
              <w:ind w:left="-18"/>
              <w:rPr>
                <w:rFonts w:eastAsia="Times New Roman" w:cs="Times New Roman"/>
                <w:sz w:val="20"/>
                <w:szCs w:val="20"/>
              </w:rPr>
            </w:pPr>
          </w:p>
        </w:tc>
        <w:tc>
          <w:tcPr>
            <w:tcW w:w="1728" w:type="dxa"/>
          </w:tcPr>
          <w:p w14:paraId="22E8CD67" w14:textId="77777777" w:rsidR="00651E78" w:rsidRDefault="00651E78" w:rsidP="00651E78">
            <w:pPr>
              <w:jc w:val="center"/>
              <w:rPr>
                <w:rFonts w:eastAsia="Times New Roman" w:cs="Calibri"/>
                <w:color w:val="000000"/>
                <w:sz w:val="20"/>
                <w:szCs w:val="20"/>
              </w:rPr>
            </w:pPr>
          </w:p>
        </w:tc>
      </w:tr>
      <w:tr w:rsidR="00741E3B" w:rsidRPr="00251052" w14:paraId="34A467D0" w14:textId="77777777" w:rsidTr="006F2616">
        <w:trPr>
          <w:trHeight w:val="341"/>
        </w:trPr>
        <w:tc>
          <w:tcPr>
            <w:tcW w:w="9216" w:type="dxa"/>
            <w:gridSpan w:val="3"/>
            <w:vAlign w:val="center"/>
          </w:tcPr>
          <w:p w14:paraId="5DF42216" w14:textId="77777777" w:rsidR="00741E3B" w:rsidRDefault="00741E3B" w:rsidP="006F2616">
            <w:pPr>
              <w:rPr>
                <w:rFonts w:eastAsia="Times New Roman" w:cs="Times New Roman"/>
                <w:b/>
                <w:sz w:val="20"/>
                <w:szCs w:val="20"/>
              </w:rPr>
            </w:pPr>
          </w:p>
          <w:p w14:paraId="79CC7B55" w14:textId="77777777" w:rsidR="00741E3B" w:rsidRPr="00F212D8" w:rsidRDefault="00283110" w:rsidP="006F2616">
            <w:pPr>
              <w:rPr>
                <w:rFonts w:eastAsia="Times New Roman" w:cs="Times New Roman"/>
                <w:b/>
                <w:sz w:val="20"/>
                <w:szCs w:val="20"/>
              </w:rPr>
            </w:pPr>
            <w:r>
              <w:rPr>
                <w:rFonts w:eastAsia="Times New Roman" w:cs="Times New Roman"/>
                <w:b/>
                <w:sz w:val="20"/>
                <w:szCs w:val="20"/>
              </w:rPr>
              <w:t xml:space="preserve">Sensorimotor Rehabilitation </w:t>
            </w:r>
          </w:p>
        </w:tc>
      </w:tr>
      <w:tr w:rsidR="00741E3B" w:rsidRPr="00251052" w14:paraId="31B2BFF1" w14:textId="77777777" w:rsidTr="00651E78">
        <w:trPr>
          <w:trHeight w:val="479"/>
        </w:trPr>
        <w:tc>
          <w:tcPr>
            <w:tcW w:w="1638" w:type="dxa"/>
          </w:tcPr>
          <w:p w14:paraId="222F5AD3" w14:textId="77777777" w:rsidR="00741E3B" w:rsidRPr="00251052" w:rsidRDefault="00741E3B" w:rsidP="006F2616">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0DBC1657" w14:textId="77777777" w:rsidR="00741E3B" w:rsidRDefault="00651E78" w:rsidP="00741E3B">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ASD Examination</w:t>
            </w:r>
          </w:p>
          <w:p w14:paraId="03B1B83D" w14:textId="77777777" w:rsidR="00651E78" w:rsidRDefault="00651E78" w:rsidP="00741E3B">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ASD Intervention</w:t>
            </w:r>
          </w:p>
          <w:p w14:paraId="53F5AB37" w14:textId="77777777" w:rsidR="00651E78" w:rsidRDefault="00651E78" w:rsidP="00741E3B">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DCD Examination</w:t>
            </w:r>
          </w:p>
          <w:p w14:paraId="12B63985" w14:textId="77777777" w:rsidR="00651E78" w:rsidRPr="00741E3B" w:rsidRDefault="00651E78" w:rsidP="00741E3B">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DCD Intervention</w:t>
            </w:r>
          </w:p>
        </w:tc>
        <w:tc>
          <w:tcPr>
            <w:tcW w:w="1728" w:type="dxa"/>
          </w:tcPr>
          <w:p w14:paraId="73C9634D" w14:textId="77777777" w:rsidR="00741E3B" w:rsidRDefault="00651E78" w:rsidP="00651E78">
            <w:pPr>
              <w:jc w:val="center"/>
              <w:rPr>
                <w:rFonts w:eastAsia="Times New Roman" w:cs="Times New Roman"/>
                <w:sz w:val="20"/>
                <w:szCs w:val="20"/>
              </w:rPr>
            </w:pPr>
            <w:r>
              <w:rPr>
                <w:rFonts w:eastAsia="Times New Roman" w:cs="Times New Roman"/>
                <w:sz w:val="20"/>
                <w:szCs w:val="20"/>
              </w:rPr>
              <w:t>11:45 minutes</w:t>
            </w:r>
          </w:p>
          <w:p w14:paraId="0FF385D3" w14:textId="77777777" w:rsidR="00651E78" w:rsidRDefault="00651E78" w:rsidP="00651E78">
            <w:pPr>
              <w:jc w:val="center"/>
              <w:rPr>
                <w:rFonts w:eastAsia="Times New Roman" w:cs="Times New Roman"/>
                <w:sz w:val="20"/>
                <w:szCs w:val="20"/>
              </w:rPr>
            </w:pPr>
            <w:r>
              <w:rPr>
                <w:rFonts w:eastAsia="Times New Roman" w:cs="Times New Roman"/>
                <w:sz w:val="20"/>
                <w:szCs w:val="20"/>
              </w:rPr>
              <w:t>4:55 minutes</w:t>
            </w:r>
          </w:p>
          <w:p w14:paraId="0C61A514" w14:textId="77777777" w:rsidR="00651E78" w:rsidRDefault="00651E78" w:rsidP="00651E78">
            <w:pPr>
              <w:jc w:val="center"/>
              <w:rPr>
                <w:rFonts w:eastAsia="Times New Roman" w:cs="Times New Roman"/>
                <w:sz w:val="20"/>
                <w:szCs w:val="20"/>
              </w:rPr>
            </w:pPr>
            <w:r>
              <w:rPr>
                <w:rFonts w:eastAsia="Times New Roman" w:cs="Times New Roman"/>
                <w:sz w:val="20"/>
                <w:szCs w:val="20"/>
              </w:rPr>
              <w:t>9:26 minutes</w:t>
            </w:r>
          </w:p>
          <w:p w14:paraId="1906B74D" w14:textId="77777777" w:rsidR="00651E78" w:rsidRPr="00251052" w:rsidRDefault="00651E78" w:rsidP="00651E78">
            <w:pPr>
              <w:jc w:val="center"/>
              <w:rPr>
                <w:rFonts w:eastAsia="Times New Roman" w:cs="Times New Roman"/>
                <w:sz w:val="20"/>
                <w:szCs w:val="20"/>
              </w:rPr>
            </w:pPr>
            <w:r>
              <w:rPr>
                <w:rFonts w:eastAsia="Times New Roman" w:cs="Times New Roman"/>
                <w:sz w:val="20"/>
                <w:szCs w:val="20"/>
              </w:rPr>
              <w:t>5:30 minutes</w:t>
            </w:r>
          </w:p>
        </w:tc>
      </w:tr>
      <w:tr w:rsidR="00741E3B" w:rsidRPr="00251052" w14:paraId="47FE8AEC" w14:textId="77777777" w:rsidTr="006F2616">
        <w:tc>
          <w:tcPr>
            <w:tcW w:w="1638" w:type="dxa"/>
          </w:tcPr>
          <w:p w14:paraId="317A5885" w14:textId="77777777" w:rsidR="00741E3B" w:rsidRPr="00251052" w:rsidRDefault="00741E3B" w:rsidP="006F2616">
            <w:pPr>
              <w:rPr>
                <w:rFonts w:eastAsia="Times New Roman" w:cs="Times New Roman"/>
                <w:sz w:val="20"/>
                <w:szCs w:val="20"/>
              </w:rPr>
            </w:pPr>
            <w:r w:rsidRPr="00251052">
              <w:rPr>
                <w:rFonts w:eastAsia="Times New Roman" w:cs="Times New Roman"/>
                <w:sz w:val="20"/>
                <w:szCs w:val="20"/>
              </w:rPr>
              <w:t>Required readings</w:t>
            </w:r>
          </w:p>
        </w:tc>
        <w:tc>
          <w:tcPr>
            <w:tcW w:w="5850" w:type="dxa"/>
          </w:tcPr>
          <w:p w14:paraId="3DA2A33C" w14:textId="77777777" w:rsidR="00741E3B" w:rsidRDefault="00651E78"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Blank et al (2019) p 242-285</w:t>
            </w:r>
          </w:p>
          <w:p w14:paraId="235D0220" w14:textId="77777777" w:rsidR="00872E39" w:rsidRDefault="00872E39"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Paquet et al (2015) p 1-32</w:t>
            </w:r>
          </w:p>
          <w:p w14:paraId="42274A7C" w14:textId="77777777" w:rsidR="00872E39" w:rsidRPr="00F212D8" w:rsidRDefault="00872E39" w:rsidP="00872E39">
            <w:pPr>
              <w:pStyle w:val="ListParagraph"/>
              <w:widowControl w:val="0"/>
              <w:autoSpaceDE w:val="0"/>
              <w:autoSpaceDN w:val="0"/>
              <w:adjustRightInd w:val="0"/>
              <w:ind w:left="162"/>
              <w:rPr>
                <w:rFonts w:cs="Arial"/>
                <w:sz w:val="20"/>
                <w:szCs w:val="20"/>
              </w:rPr>
            </w:pPr>
          </w:p>
        </w:tc>
        <w:tc>
          <w:tcPr>
            <w:tcW w:w="1728" w:type="dxa"/>
            <w:vAlign w:val="center"/>
          </w:tcPr>
          <w:p w14:paraId="78614E1C" w14:textId="77777777" w:rsidR="00741E3B" w:rsidRPr="00251052" w:rsidRDefault="00741E3B" w:rsidP="006F2616">
            <w:pPr>
              <w:jc w:val="center"/>
              <w:rPr>
                <w:rFonts w:eastAsia="Times New Roman" w:cs="Times New Roman"/>
                <w:sz w:val="20"/>
                <w:szCs w:val="20"/>
              </w:rPr>
            </w:pPr>
          </w:p>
        </w:tc>
      </w:tr>
      <w:tr w:rsidR="00741E3B" w:rsidRPr="00251052" w14:paraId="5E39F642" w14:textId="77777777" w:rsidTr="006F2616">
        <w:trPr>
          <w:trHeight w:val="341"/>
        </w:trPr>
        <w:tc>
          <w:tcPr>
            <w:tcW w:w="9216" w:type="dxa"/>
            <w:gridSpan w:val="3"/>
            <w:vAlign w:val="center"/>
          </w:tcPr>
          <w:p w14:paraId="0B24583A" w14:textId="77777777" w:rsidR="00741E3B" w:rsidRDefault="00741E3B" w:rsidP="006F2616">
            <w:pPr>
              <w:rPr>
                <w:rFonts w:eastAsia="Times New Roman" w:cs="Times New Roman"/>
                <w:b/>
                <w:sz w:val="20"/>
                <w:szCs w:val="20"/>
              </w:rPr>
            </w:pPr>
          </w:p>
          <w:p w14:paraId="0C597068" w14:textId="77777777" w:rsidR="00741E3B" w:rsidRPr="00F212D8" w:rsidRDefault="00283110" w:rsidP="006F2616">
            <w:pPr>
              <w:rPr>
                <w:rFonts w:eastAsia="Times New Roman" w:cs="Times New Roman"/>
                <w:b/>
                <w:sz w:val="20"/>
                <w:szCs w:val="20"/>
              </w:rPr>
            </w:pPr>
            <w:r>
              <w:rPr>
                <w:rFonts w:eastAsia="Times New Roman" w:cs="Times New Roman"/>
                <w:b/>
                <w:sz w:val="20"/>
                <w:szCs w:val="20"/>
              </w:rPr>
              <w:t xml:space="preserve">Adaptative Equipment and  Assistive Technology </w:t>
            </w:r>
          </w:p>
        </w:tc>
      </w:tr>
      <w:tr w:rsidR="00741E3B" w:rsidRPr="00251052" w14:paraId="595A49B7" w14:textId="77777777" w:rsidTr="00872E39">
        <w:trPr>
          <w:trHeight w:val="479"/>
        </w:trPr>
        <w:tc>
          <w:tcPr>
            <w:tcW w:w="1638" w:type="dxa"/>
          </w:tcPr>
          <w:p w14:paraId="70A92FD2" w14:textId="77777777" w:rsidR="00741E3B" w:rsidRPr="00251052" w:rsidRDefault="00741E3B" w:rsidP="006F2616">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259C7012" w14:textId="77777777" w:rsidR="00741E3B" w:rsidRDefault="00872E39" w:rsidP="00741E3B">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Intro to AT in Pediatrics Part 1</w:t>
            </w:r>
          </w:p>
          <w:p w14:paraId="7D8421DA" w14:textId="77777777" w:rsidR="00872E39" w:rsidRPr="00741E3B" w:rsidRDefault="00872E39" w:rsidP="00741E3B">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Intro to AT in Pediatrics Part 2</w:t>
            </w:r>
          </w:p>
        </w:tc>
        <w:tc>
          <w:tcPr>
            <w:tcW w:w="1728" w:type="dxa"/>
          </w:tcPr>
          <w:p w14:paraId="511394B1" w14:textId="77777777" w:rsidR="00741E3B" w:rsidRDefault="00872E39" w:rsidP="00872E39">
            <w:pPr>
              <w:jc w:val="center"/>
              <w:rPr>
                <w:rFonts w:eastAsia="Times New Roman" w:cs="Times New Roman"/>
                <w:sz w:val="20"/>
                <w:szCs w:val="20"/>
              </w:rPr>
            </w:pPr>
            <w:r>
              <w:rPr>
                <w:rFonts w:eastAsia="Times New Roman" w:cs="Times New Roman"/>
                <w:sz w:val="20"/>
                <w:szCs w:val="20"/>
              </w:rPr>
              <w:t>13:17 minutes</w:t>
            </w:r>
          </w:p>
          <w:p w14:paraId="773C24BC" w14:textId="77777777" w:rsidR="00872E39" w:rsidRPr="00251052" w:rsidRDefault="00872E39" w:rsidP="00872E39">
            <w:pPr>
              <w:jc w:val="center"/>
              <w:rPr>
                <w:rFonts w:eastAsia="Times New Roman" w:cs="Times New Roman"/>
                <w:sz w:val="20"/>
                <w:szCs w:val="20"/>
              </w:rPr>
            </w:pPr>
            <w:r>
              <w:rPr>
                <w:rFonts w:eastAsia="Times New Roman" w:cs="Times New Roman"/>
                <w:sz w:val="20"/>
                <w:szCs w:val="20"/>
              </w:rPr>
              <w:t>20:37 minutes</w:t>
            </w:r>
          </w:p>
        </w:tc>
      </w:tr>
      <w:tr w:rsidR="00741E3B" w:rsidRPr="00251052" w14:paraId="5C323C7E" w14:textId="77777777" w:rsidTr="006F2616">
        <w:tc>
          <w:tcPr>
            <w:tcW w:w="1638" w:type="dxa"/>
          </w:tcPr>
          <w:p w14:paraId="77CAD069" w14:textId="77777777" w:rsidR="00741E3B" w:rsidRPr="00251052" w:rsidRDefault="00741E3B" w:rsidP="006F2616">
            <w:pPr>
              <w:rPr>
                <w:rFonts w:eastAsia="Times New Roman" w:cs="Times New Roman"/>
                <w:sz w:val="20"/>
                <w:szCs w:val="20"/>
              </w:rPr>
            </w:pPr>
            <w:r w:rsidRPr="00251052">
              <w:rPr>
                <w:rFonts w:eastAsia="Times New Roman" w:cs="Times New Roman"/>
                <w:sz w:val="20"/>
                <w:szCs w:val="20"/>
              </w:rPr>
              <w:t>Required readings</w:t>
            </w:r>
          </w:p>
        </w:tc>
        <w:tc>
          <w:tcPr>
            <w:tcW w:w="5850" w:type="dxa"/>
          </w:tcPr>
          <w:p w14:paraId="3AAA51AB" w14:textId="77777777" w:rsidR="00741E3B" w:rsidRDefault="00872E39"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Ahmad (2017) p 62-77</w:t>
            </w:r>
          </w:p>
          <w:p w14:paraId="330BDAF9" w14:textId="77777777" w:rsidR="00872E39" w:rsidRDefault="00872E39"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Mockler et al (2017) p 2034-41</w:t>
            </w:r>
          </w:p>
          <w:p w14:paraId="68DC51BB" w14:textId="77777777" w:rsidR="00872E39" w:rsidRDefault="00872E39"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Rahman et al (2012) p 701-717</w:t>
            </w:r>
          </w:p>
          <w:p w14:paraId="67385384" w14:textId="77777777" w:rsidR="00872E39" w:rsidRPr="00F212D8" w:rsidRDefault="00872E39" w:rsidP="00872E39">
            <w:pPr>
              <w:pStyle w:val="ListParagraph"/>
              <w:widowControl w:val="0"/>
              <w:autoSpaceDE w:val="0"/>
              <w:autoSpaceDN w:val="0"/>
              <w:adjustRightInd w:val="0"/>
              <w:ind w:left="162"/>
              <w:rPr>
                <w:rFonts w:cs="Arial"/>
                <w:sz w:val="20"/>
                <w:szCs w:val="20"/>
              </w:rPr>
            </w:pPr>
          </w:p>
        </w:tc>
        <w:tc>
          <w:tcPr>
            <w:tcW w:w="1728" w:type="dxa"/>
            <w:vAlign w:val="center"/>
          </w:tcPr>
          <w:p w14:paraId="76E8CDF6" w14:textId="77777777" w:rsidR="00741E3B" w:rsidRPr="00251052" w:rsidRDefault="00741E3B" w:rsidP="006F2616">
            <w:pPr>
              <w:jc w:val="center"/>
              <w:rPr>
                <w:rFonts w:eastAsia="Times New Roman" w:cs="Times New Roman"/>
                <w:sz w:val="20"/>
                <w:szCs w:val="20"/>
              </w:rPr>
            </w:pPr>
          </w:p>
        </w:tc>
      </w:tr>
      <w:tr w:rsidR="00872E39" w:rsidRPr="00251052" w14:paraId="6C7D3D6D" w14:textId="77777777" w:rsidTr="006F2616">
        <w:trPr>
          <w:trHeight w:val="341"/>
        </w:trPr>
        <w:tc>
          <w:tcPr>
            <w:tcW w:w="9216" w:type="dxa"/>
            <w:gridSpan w:val="3"/>
            <w:vAlign w:val="center"/>
          </w:tcPr>
          <w:p w14:paraId="0E479DCB" w14:textId="77777777" w:rsidR="00872E39" w:rsidRPr="00F212D8" w:rsidRDefault="00872E39" w:rsidP="006F2616">
            <w:pPr>
              <w:rPr>
                <w:rFonts w:eastAsia="Times New Roman" w:cs="Times New Roman"/>
                <w:b/>
                <w:sz w:val="20"/>
                <w:szCs w:val="20"/>
              </w:rPr>
            </w:pPr>
            <w:r>
              <w:rPr>
                <w:rFonts w:eastAsia="Times New Roman" w:cs="Times New Roman"/>
                <w:b/>
                <w:sz w:val="20"/>
                <w:szCs w:val="20"/>
              </w:rPr>
              <w:t xml:space="preserve">Intervention: Developing Plans of Care </w:t>
            </w:r>
          </w:p>
        </w:tc>
      </w:tr>
      <w:tr w:rsidR="00872E39" w:rsidRPr="00251052" w14:paraId="4B65938D" w14:textId="77777777" w:rsidTr="006F2616">
        <w:trPr>
          <w:trHeight w:val="479"/>
        </w:trPr>
        <w:tc>
          <w:tcPr>
            <w:tcW w:w="1638" w:type="dxa"/>
          </w:tcPr>
          <w:p w14:paraId="1BAA5FC8" w14:textId="77777777" w:rsidR="00872E39" w:rsidRPr="00251052" w:rsidRDefault="00872E39" w:rsidP="006F2616">
            <w:pPr>
              <w:rPr>
                <w:rFonts w:eastAsia="Times New Roman" w:cs="Times New Roman"/>
                <w:sz w:val="20"/>
                <w:szCs w:val="20"/>
              </w:rPr>
            </w:pPr>
            <w:r w:rsidRPr="00251052">
              <w:rPr>
                <w:rFonts w:eastAsia="Times New Roman" w:cs="Times New Roman"/>
                <w:sz w:val="20"/>
                <w:szCs w:val="20"/>
              </w:rPr>
              <w:t>Online presentation</w:t>
            </w:r>
            <w:r>
              <w:rPr>
                <w:rFonts w:eastAsia="Times New Roman" w:cs="Times New Roman"/>
                <w:sz w:val="20"/>
                <w:szCs w:val="20"/>
              </w:rPr>
              <w:t>s</w:t>
            </w:r>
          </w:p>
        </w:tc>
        <w:tc>
          <w:tcPr>
            <w:tcW w:w="5850" w:type="dxa"/>
          </w:tcPr>
          <w:p w14:paraId="722945C2" w14:textId="77777777" w:rsidR="00872E39" w:rsidRPr="00F212D8" w:rsidRDefault="00872E39" w:rsidP="006F2616">
            <w:pPr>
              <w:pStyle w:val="ListParagraph"/>
              <w:numPr>
                <w:ilvl w:val="0"/>
                <w:numId w:val="17"/>
              </w:numPr>
              <w:ind w:left="162" w:hanging="180"/>
              <w:rPr>
                <w:rFonts w:eastAsia="Times New Roman" w:cs="Times New Roman"/>
                <w:sz w:val="20"/>
                <w:szCs w:val="20"/>
              </w:rPr>
            </w:pPr>
            <w:r>
              <w:rPr>
                <w:rFonts w:eastAsia="Times New Roman" w:cs="Times New Roman"/>
                <w:sz w:val="20"/>
                <w:szCs w:val="20"/>
              </w:rPr>
              <w:t>Dosing</w:t>
            </w:r>
          </w:p>
        </w:tc>
        <w:tc>
          <w:tcPr>
            <w:tcW w:w="1728" w:type="dxa"/>
          </w:tcPr>
          <w:p w14:paraId="346615F8" w14:textId="77777777" w:rsidR="00872E39" w:rsidRPr="00251052" w:rsidRDefault="00872E39" w:rsidP="006F2616">
            <w:pPr>
              <w:jc w:val="center"/>
              <w:rPr>
                <w:rFonts w:eastAsia="Times New Roman" w:cs="Times New Roman"/>
                <w:sz w:val="20"/>
                <w:szCs w:val="20"/>
              </w:rPr>
            </w:pPr>
            <w:r>
              <w:rPr>
                <w:rFonts w:eastAsia="Times New Roman" w:cs="Times New Roman"/>
                <w:sz w:val="20"/>
                <w:szCs w:val="20"/>
              </w:rPr>
              <w:t>11:30 minutes</w:t>
            </w:r>
          </w:p>
        </w:tc>
      </w:tr>
      <w:tr w:rsidR="00872E39" w:rsidRPr="00251052" w14:paraId="7C5A87F8" w14:textId="77777777" w:rsidTr="00872E39">
        <w:trPr>
          <w:trHeight w:val="224"/>
        </w:trPr>
        <w:tc>
          <w:tcPr>
            <w:tcW w:w="1638" w:type="dxa"/>
          </w:tcPr>
          <w:p w14:paraId="12DA5481" w14:textId="77777777" w:rsidR="00872E39" w:rsidRPr="00251052" w:rsidRDefault="00872E39" w:rsidP="006F2616">
            <w:pPr>
              <w:rPr>
                <w:rFonts w:eastAsia="Times New Roman" w:cs="Times New Roman"/>
                <w:sz w:val="20"/>
                <w:szCs w:val="20"/>
              </w:rPr>
            </w:pPr>
            <w:r w:rsidRPr="00251052">
              <w:rPr>
                <w:rFonts w:eastAsia="Times New Roman" w:cs="Times New Roman"/>
                <w:sz w:val="20"/>
                <w:szCs w:val="20"/>
              </w:rPr>
              <w:t>Required readings</w:t>
            </w:r>
          </w:p>
        </w:tc>
        <w:tc>
          <w:tcPr>
            <w:tcW w:w="5850" w:type="dxa"/>
          </w:tcPr>
          <w:p w14:paraId="5CE888E4" w14:textId="77777777" w:rsidR="00872E39" w:rsidRDefault="00872E39"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Gannotti (2017) p 37-47</w:t>
            </w:r>
          </w:p>
          <w:p w14:paraId="5FD87D3A" w14:textId="77777777" w:rsidR="00872E39" w:rsidRPr="00F212D8" w:rsidRDefault="00872E39" w:rsidP="006F2616">
            <w:pPr>
              <w:pStyle w:val="ListParagraph"/>
              <w:widowControl w:val="0"/>
              <w:numPr>
                <w:ilvl w:val="0"/>
                <w:numId w:val="16"/>
              </w:numPr>
              <w:autoSpaceDE w:val="0"/>
              <w:autoSpaceDN w:val="0"/>
              <w:adjustRightInd w:val="0"/>
              <w:ind w:left="162" w:hanging="180"/>
              <w:rPr>
                <w:rFonts w:cs="Arial"/>
                <w:sz w:val="20"/>
                <w:szCs w:val="20"/>
              </w:rPr>
            </w:pPr>
            <w:r>
              <w:rPr>
                <w:rFonts w:cs="Arial"/>
                <w:sz w:val="20"/>
                <w:szCs w:val="20"/>
              </w:rPr>
              <w:t>Bailes t al (2008) p 194-198</w:t>
            </w:r>
          </w:p>
        </w:tc>
        <w:tc>
          <w:tcPr>
            <w:tcW w:w="1728" w:type="dxa"/>
            <w:vAlign w:val="center"/>
          </w:tcPr>
          <w:p w14:paraId="0F48F137" w14:textId="77777777" w:rsidR="00872E39" w:rsidRPr="00251052" w:rsidRDefault="00872E39" w:rsidP="006F2616">
            <w:pPr>
              <w:jc w:val="center"/>
              <w:rPr>
                <w:rFonts w:eastAsia="Times New Roman" w:cs="Times New Roman"/>
                <w:sz w:val="20"/>
                <w:szCs w:val="20"/>
              </w:rPr>
            </w:pPr>
          </w:p>
        </w:tc>
      </w:tr>
    </w:tbl>
    <w:p w14:paraId="381F2FC1" w14:textId="77777777" w:rsidR="00CC54FA" w:rsidRPr="00CC54FA" w:rsidRDefault="00CC54FA" w:rsidP="00CC54FA">
      <w:pPr>
        <w:spacing w:after="0" w:line="240" w:lineRule="auto"/>
        <w:jc w:val="both"/>
        <w:rPr>
          <w:rFonts w:ascii="Arial Narrow" w:eastAsiaTheme="minorEastAsia" w:hAnsi="Arial Narrow" w:cs="Times New Roman"/>
        </w:rPr>
      </w:pPr>
    </w:p>
    <w:p w14:paraId="1F77BFEE" w14:textId="77777777" w:rsidR="00CC54FA" w:rsidRPr="00CC54FA" w:rsidRDefault="00CC54FA" w:rsidP="00CC54FA">
      <w:pPr>
        <w:spacing w:after="0" w:line="240" w:lineRule="auto"/>
        <w:jc w:val="both"/>
        <w:rPr>
          <w:rFonts w:ascii="Arial Narrow" w:eastAsiaTheme="minorEastAsia" w:hAnsi="Arial Narrow" w:cs="Times New Roman"/>
        </w:rPr>
      </w:pPr>
    </w:p>
    <w:tbl>
      <w:tblPr>
        <w:tblStyle w:val="TableGrid"/>
        <w:tblW w:w="0" w:type="auto"/>
        <w:tblLayout w:type="fixed"/>
        <w:tblLook w:val="04A0" w:firstRow="1" w:lastRow="0" w:firstColumn="1" w:lastColumn="0" w:noHBand="0" w:noVBand="1"/>
      </w:tblPr>
      <w:tblGrid>
        <w:gridCol w:w="9216"/>
      </w:tblGrid>
      <w:tr w:rsidR="00B174AF" w:rsidRPr="00F212D8" w14:paraId="4847E0F8" w14:textId="77777777" w:rsidTr="00C204E9">
        <w:trPr>
          <w:trHeight w:val="341"/>
        </w:trPr>
        <w:tc>
          <w:tcPr>
            <w:tcW w:w="9216" w:type="dxa"/>
            <w:vAlign w:val="center"/>
          </w:tcPr>
          <w:p w14:paraId="500AC582" w14:textId="77777777" w:rsidR="00B174AF" w:rsidRPr="00F212D8" w:rsidRDefault="00B174AF" w:rsidP="00C204E9">
            <w:pPr>
              <w:rPr>
                <w:rFonts w:eastAsia="Times New Roman" w:cs="Times New Roman"/>
                <w:b/>
                <w:sz w:val="20"/>
                <w:szCs w:val="20"/>
              </w:rPr>
            </w:pPr>
            <w:r>
              <w:rPr>
                <w:rFonts w:eastAsia="Times New Roman" w:cs="Times New Roman"/>
                <w:b/>
                <w:sz w:val="20"/>
                <w:szCs w:val="20"/>
              </w:rPr>
              <w:t xml:space="preserve">Online Post-Test  (10 Questions)                                                                                                            </w:t>
            </w:r>
            <w:r w:rsidRPr="00B174AF">
              <w:rPr>
                <w:rFonts w:eastAsia="Times New Roman" w:cs="Times New Roman"/>
                <w:sz w:val="20"/>
                <w:szCs w:val="20"/>
              </w:rPr>
              <w:t xml:space="preserve"> 20 minutes</w:t>
            </w:r>
          </w:p>
        </w:tc>
      </w:tr>
    </w:tbl>
    <w:p w14:paraId="088E74A5" w14:textId="77777777" w:rsidR="00B174AF" w:rsidRDefault="00B174AF" w:rsidP="00B174AF">
      <w:pPr>
        <w:rPr>
          <w:rFonts w:ascii="Arial Narrow" w:eastAsia="Times New Roman" w:hAnsi="Arial Narrow" w:cs="Times New Roman"/>
          <w:b/>
        </w:rPr>
      </w:pPr>
    </w:p>
    <w:tbl>
      <w:tblPr>
        <w:tblStyle w:val="TableGrid"/>
        <w:tblW w:w="0" w:type="auto"/>
        <w:tblLayout w:type="fixed"/>
        <w:tblLook w:val="04A0" w:firstRow="1" w:lastRow="0" w:firstColumn="1" w:lastColumn="0" w:noHBand="0" w:noVBand="1"/>
      </w:tblPr>
      <w:tblGrid>
        <w:gridCol w:w="6858"/>
        <w:gridCol w:w="2358"/>
      </w:tblGrid>
      <w:tr w:rsidR="003F6AE6" w:rsidRPr="00251052" w14:paraId="307EC47C" w14:textId="77777777" w:rsidTr="00C204E9">
        <w:tc>
          <w:tcPr>
            <w:tcW w:w="6858" w:type="dxa"/>
            <w:tcBorders>
              <w:bottom w:val="single" w:sz="4" w:space="0" w:color="auto"/>
            </w:tcBorders>
          </w:tcPr>
          <w:p w14:paraId="5C1D9CA8" w14:textId="77777777" w:rsidR="003F6AE6" w:rsidRPr="00232581" w:rsidRDefault="003F6AE6" w:rsidP="00C204E9">
            <w:pPr>
              <w:rPr>
                <w:rFonts w:eastAsia="Times New Roman" w:cs="Times New Roman"/>
                <w:b/>
                <w:sz w:val="20"/>
                <w:szCs w:val="20"/>
              </w:rPr>
            </w:pPr>
            <w:r>
              <w:rPr>
                <w:rFonts w:eastAsia="Times New Roman" w:cs="Times New Roman"/>
                <w:b/>
                <w:sz w:val="20"/>
                <w:szCs w:val="20"/>
              </w:rPr>
              <w:t>SUMMARY OF TIME</w:t>
            </w:r>
            <w:r w:rsidRPr="00232581">
              <w:rPr>
                <w:rFonts w:eastAsia="Times New Roman" w:cs="Times New Roman"/>
                <w:b/>
                <w:sz w:val="20"/>
                <w:szCs w:val="20"/>
              </w:rPr>
              <w:t xml:space="preserve"> REQUIREMENTS FOR ONLINE PRE-COURSE</w:t>
            </w:r>
          </w:p>
        </w:tc>
        <w:tc>
          <w:tcPr>
            <w:tcW w:w="2358" w:type="dxa"/>
            <w:tcBorders>
              <w:bottom w:val="single" w:sz="4" w:space="0" w:color="auto"/>
            </w:tcBorders>
            <w:vAlign w:val="center"/>
          </w:tcPr>
          <w:p w14:paraId="770FB424" w14:textId="77777777" w:rsidR="003F6AE6" w:rsidRPr="00232581" w:rsidRDefault="003F6AE6" w:rsidP="00C204E9">
            <w:pPr>
              <w:jc w:val="right"/>
              <w:rPr>
                <w:rFonts w:eastAsia="Times New Roman" w:cs="Times New Roman"/>
                <w:b/>
                <w:sz w:val="20"/>
                <w:szCs w:val="20"/>
              </w:rPr>
            </w:pPr>
          </w:p>
        </w:tc>
      </w:tr>
      <w:tr w:rsidR="003F6AE6" w:rsidRPr="00251052" w14:paraId="3771C6EC" w14:textId="77777777" w:rsidTr="00C204E9">
        <w:tc>
          <w:tcPr>
            <w:tcW w:w="6858" w:type="dxa"/>
          </w:tcPr>
          <w:p w14:paraId="0A44A92F" w14:textId="77777777" w:rsidR="003F6AE6" w:rsidRPr="00232581" w:rsidRDefault="003F6AE6" w:rsidP="00C204E9">
            <w:pPr>
              <w:rPr>
                <w:rFonts w:eastAsia="Times New Roman" w:cs="Times New Roman"/>
                <w:sz w:val="20"/>
                <w:szCs w:val="20"/>
              </w:rPr>
            </w:pPr>
            <w:r>
              <w:rPr>
                <w:rFonts w:eastAsia="Times New Roman" w:cs="Times New Roman"/>
                <w:sz w:val="20"/>
                <w:szCs w:val="20"/>
              </w:rPr>
              <w:t>Online presentations</w:t>
            </w:r>
          </w:p>
        </w:tc>
        <w:tc>
          <w:tcPr>
            <w:tcW w:w="2358" w:type="dxa"/>
          </w:tcPr>
          <w:p w14:paraId="071B2547" w14:textId="77777777" w:rsidR="003F6AE6" w:rsidRPr="00232581" w:rsidRDefault="003F6AE6" w:rsidP="00C204E9">
            <w:pPr>
              <w:jc w:val="right"/>
              <w:rPr>
                <w:rFonts w:eastAsia="Times New Roman" w:cs="Times New Roman"/>
                <w:sz w:val="20"/>
                <w:szCs w:val="20"/>
              </w:rPr>
            </w:pPr>
          </w:p>
        </w:tc>
      </w:tr>
      <w:tr w:rsidR="003F6AE6" w:rsidRPr="00251052" w14:paraId="615D694C" w14:textId="77777777" w:rsidTr="00C204E9">
        <w:tc>
          <w:tcPr>
            <w:tcW w:w="6858" w:type="dxa"/>
          </w:tcPr>
          <w:p w14:paraId="22E91311" w14:textId="77777777" w:rsidR="003F6AE6" w:rsidRPr="00232581" w:rsidRDefault="003F6AE6" w:rsidP="00C204E9">
            <w:pPr>
              <w:rPr>
                <w:rFonts w:eastAsia="Times New Roman" w:cs="Times New Roman"/>
                <w:sz w:val="20"/>
                <w:szCs w:val="20"/>
              </w:rPr>
            </w:pPr>
            <w:r>
              <w:rPr>
                <w:rFonts w:eastAsia="Times New Roman" w:cs="Times New Roman"/>
                <w:sz w:val="20"/>
                <w:szCs w:val="20"/>
              </w:rPr>
              <w:t>Required readings</w:t>
            </w:r>
          </w:p>
        </w:tc>
        <w:tc>
          <w:tcPr>
            <w:tcW w:w="2358" w:type="dxa"/>
          </w:tcPr>
          <w:p w14:paraId="628D4A04" w14:textId="77777777" w:rsidR="003F6AE6" w:rsidRPr="00232581" w:rsidRDefault="003F6AE6" w:rsidP="00C204E9">
            <w:pPr>
              <w:jc w:val="right"/>
              <w:rPr>
                <w:rFonts w:eastAsia="Times New Roman" w:cs="Times New Roman"/>
                <w:sz w:val="20"/>
                <w:szCs w:val="20"/>
              </w:rPr>
            </w:pPr>
          </w:p>
        </w:tc>
      </w:tr>
      <w:tr w:rsidR="003F6AE6" w:rsidRPr="00251052" w14:paraId="690B2434" w14:textId="77777777" w:rsidTr="00C204E9">
        <w:tc>
          <w:tcPr>
            <w:tcW w:w="6858" w:type="dxa"/>
          </w:tcPr>
          <w:p w14:paraId="579D6D63" w14:textId="77777777" w:rsidR="003F6AE6" w:rsidRPr="00232581" w:rsidRDefault="003F6AE6" w:rsidP="00C204E9">
            <w:pPr>
              <w:rPr>
                <w:rFonts w:eastAsia="Times New Roman" w:cs="Times New Roman"/>
                <w:sz w:val="20"/>
                <w:szCs w:val="20"/>
              </w:rPr>
            </w:pPr>
            <w:r>
              <w:rPr>
                <w:rFonts w:eastAsia="Times New Roman" w:cs="Times New Roman"/>
                <w:sz w:val="20"/>
                <w:szCs w:val="20"/>
              </w:rPr>
              <w:t>Post-test</w:t>
            </w:r>
          </w:p>
        </w:tc>
        <w:tc>
          <w:tcPr>
            <w:tcW w:w="2358" w:type="dxa"/>
          </w:tcPr>
          <w:p w14:paraId="4D7A5491" w14:textId="77777777" w:rsidR="003F6AE6" w:rsidRPr="00232581" w:rsidRDefault="003F6AE6" w:rsidP="00C204E9">
            <w:pPr>
              <w:jc w:val="right"/>
              <w:rPr>
                <w:rFonts w:eastAsia="Times New Roman" w:cs="Times New Roman"/>
                <w:sz w:val="20"/>
                <w:szCs w:val="20"/>
              </w:rPr>
            </w:pPr>
            <w:r>
              <w:rPr>
                <w:rFonts w:eastAsia="Times New Roman" w:cs="Times New Roman"/>
                <w:sz w:val="20"/>
                <w:szCs w:val="20"/>
              </w:rPr>
              <w:t>20</w:t>
            </w:r>
            <w:r w:rsidRPr="00232581">
              <w:rPr>
                <w:rFonts w:eastAsia="Times New Roman" w:cs="Times New Roman"/>
                <w:sz w:val="20"/>
                <w:szCs w:val="20"/>
              </w:rPr>
              <w:t xml:space="preserve"> minutes</w:t>
            </w:r>
          </w:p>
        </w:tc>
      </w:tr>
      <w:tr w:rsidR="003F6AE6" w:rsidRPr="00251052" w14:paraId="75D8B5E2" w14:textId="77777777" w:rsidTr="00C204E9">
        <w:tc>
          <w:tcPr>
            <w:tcW w:w="6858" w:type="dxa"/>
          </w:tcPr>
          <w:p w14:paraId="6B78BD73" w14:textId="77777777" w:rsidR="003F6AE6" w:rsidRPr="00232581" w:rsidRDefault="003F6AE6" w:rsidP="00C204E9">
            <w:pPr>
              <w:rPr>
                <w:rFonts w:eastAsia="Times New Roman" w:cs="Times New Roman"/>
                <w:b/>
                <w:sz w:val="20"/>
                <w:szCs w:val="20"/>
              </w:rPr>
            </w:pPr>
            <w:r w:rsidRPr="00232581">
              <w:rPr>
                <w:rFonts w:eastAsia="Times New Roman" w:cs="Times New Roman"/>
                <w:b/>
                <w:sz w:val="20"/>
                <w:szCs w:val="20"/>
              </w:rPr>
              <w:t>TOTAL TIME REQUIREMENTS</w:t>
            </w:r>
          </w:p>
        </w:tc>
        <w:tc>
          <w:tcPr>
            <w:tcW w:w="2358" w:type="dxa"/>
          </w:tcPr>
          <w:p w14:paraId="1208C776" w14:textId="77777777" w:rsidR="003F6AE6" w:rsidRPr="00232581" w:rsidRDefault="003F6AE6" w:rsidP="00C204E9">
            <w:pPr>
              <w:jc w:val="right"/>
              <w:rPr>
                <w:rFonts w:eastAsia="Times New Roman" w:cs="Times New Roman"/>
                <w:b/>
                <w:sz w:val="20"/>
                <w:szCs w:val="20"/>
              </w:rPr>
            </w:pPr>
          </w:p>
        </w:tc>
      </w:tr>
    </w:tbl>
    <w:p w14:paraId="15C68BE6" w14:textId="77777777" w:rsidR="00B174AF" w:rsidRDefault="00B174AF" w:rsidP="00B174AF">
      <w:pPr>
        <w:rPr>
          <w:rFonts w:ascii="Arial Narrow" w:eastAsia="Times New Roman" w:hAnsi="Arial Narrow" w:cs="Times New Roman"/>
          <w:b/>
        </w:rPr>
      </w:pPr>
    </w:p>
    <w:p w14:paraId="7CF1C680" w14:textId="77777777" w:rsidR="00B174AF" w:rsidRDefault="00B174AF" w:rsidP="00B174AF">
      <w:pPr>
        <w:rPr>
          <w:rFonts w:ascii="Arial Narrow" w:eastAsia="Times New Roman" w:hAnsi="Arial Narrow" w:cs="Times New Roman"/>
          <w:b/>
        </w:rPr>
      </w:pPr>
    </w:p>
    <w:tbl>
      <w:tblPr>
        <w:tblStyle w:val="GridTable1Light-Accent1"/>
        <w:tblW w:w="0" w:type="auto"/>
        <w:tblLook w:val="04A0" w:firstRow="1" w:lastRow="0" w:firstColumn="1" w:lastColumn="0" w:noHBand="0" w:noVBand="1"/>
      </w:tblPr>
      <w:tblGrid>
        <w:gridCol w:w="3288"/>
        <w:gridCol w:w="2780"/>
        <w:gridCol w:w="3282"/>
      </w:tblGrid>
      <w:tr w:rsidR="00872E39" w14:paraId="1555DB3B" w14:textId="77777777" w:rsidTr="006F2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14:paraId="6259156F" w14:textId="77777777" w:rsidR="00872E39" w:rsidRDefault="00872E39" w:rsidP="006F2616">
            <w:pPr>
              <w:tabs>
                <w:tab w:val="left" w:pos="2505"/>
              </w:tabs>
              <w:rPr>
                <w:rFonts w:ascii="Libre Baskerville" w:hAnsi="Libre Baskerville"/>
                <w:sz w:val="24"/>
                <w:szCs w:val="24"/>
              </w:rPr>
            </w:pPr>
          </w:p>
        </w:tc>
        <w:tc>
          <w:tcPr>
            <w:tcW w:w="2780" w:type="dxa"/>
          </w:tcPr>
          <w:p w14:paraId="0E9823C3" w14:textId="77777777" w:rsidR="00872E39" w:rsidRDefault="00872E39" w:rsidP="006F2616">
            <w:pPr>
              <w:tabs>
                <w:tab w:val="left" w:pos="2505"/>
              </w:tabs>
              <w:cnfStyle w:val="100000000000" w:firstRow="1"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7DA09A8C" w14:textId="77777777" w:rsidR="00872E39" w:rsidRDefault="00872E39" w:rsidP="006F2616">
            <w:pPr>
              <w:tabs>
                <w:tab w:val="left" w:pos="2505"/>
              </w:tabs>
              <w:cnfStyle w:val="100000000000" w:firstRow="1" w:lastRow="0" w:firstColumn="0" w:lastColumn="0" w:oddVBand="0" w:evenVBand="0" w:oddHBand="0" w:evenHBand="0" w:firstRowFirstColumn="0" w:firstRowLastColumn="0" w:lastRowFirstColumn="0" w:lastRowLastColumn="0"/>
              <w:rPr>
                <w:rFonts w:ascii="Libre Baskerville" w:hAnsi="Libre Baskerville"/>
                <w:sz w:val="24"/>
                <w:szCs w:val="24"/>
              </w:rPr>
            </w:pPr>
          </w:p>
        </w:tc>
      </w:tr>
      <w:tr w:rsidR="00872E39" w14:paraId="206ED075"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19C82F57"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8:00</w:t>
            </w:r>
          </w:p>
        </w:tc>
        <w:tc>
          <w:tcPr>
            <w:tcW w:w="2780" w:type="dxa"/>
          </w:tcPr>
          <w:p w14:paraId="2FCCEC55"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6393368B"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Introduction</w:t>
            </w:r>
          </w:p>
          <w:p w14:paraId="21A05F25"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r>
      <w:tr w:rsidR="00872E39" w14:paraId="1086C36A"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563FCCF4"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8:30 – 10:30 </w:t>
            </w:r>
          </w:p>
        </w:tc>
        <w:tc>
          <w:tcPr>
            <w:tcW w:w="2780" w:type="dxa"/>
          </w:tcPr>
          <w:p w14:paraId="68A68C2C"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585C6487"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Assessment and Treatment of the High Risk Infant</w:t>
            </w:r>
          </w:p>
          <w:p w14:paraId="6B896223"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r>
      <w:tr w:rsidR="00872E39" w14:paraId="0C4080A8"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1D038629"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10:30 – 12:00 </w:t>
            </w:r>
          </w:p>
        </w:tc>
        <w:tc>
          <w:tcPr>
            <w:tcW w:w="2780" w:type="dxa"/>
          </w:tcPr>
          <w:p w14:paraId="2B3EA5C4"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1D6A2600"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Assessment and Treatment of Down syndrome/congenital hypotonia</w:t>
            </w:r>
          </w:p>
        </w:tc>
      </w:tr>
      <w:tr w:rsidR="00872E39" w14:paraId="286CD83E"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2194586B"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12:00 </w:t>
            </w:r>
          </w:p>
        </w:tc>
        <w:tc>
          <w:tcPr>
            <w:tcW w:w="2780" w:type="dxa"/>
          </w:tcPr>
          <w:p w14:paraId="5310BADD"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43DDA0C1"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Lunch</w:t>
            </w:r>
          </w:p>
        </w:tc>
      </w:tr>
      <w:tr w:rsidR="00872E39" w14:paraId="4D4D0231"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72B08AFA"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12:30 – 17:00 </w:t>
            </w:r>
          </w:p>
        </w:tc>
        <w:tc>
          <w:tcPr>
            <w:tcW w:w="2780" w:type="dxa"/>
          </w:tcPr>
          <w:p w14:paraId="79D08B75"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50830469"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CP: Assessment and Treatment</w:t>
            </w:r>
          </w:p>
        </w:tc>
      </w:tr>
      <w:tr w:rsidR="00872E39" w14:paraId="5CC01508"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1E59E7AC" w14:textId="77777777" w:rsidR="00872E39" w:rsidRDefault="00872E39" w:rsidP="006F2616">
            <w:pPr>
              <w:tabs>
                <w:tab w:val="left" w:pos="2505"/>
              </w:tabs>
              <w:rPr>
                <w:rFonts w:ascii="Libre Baskerville" w:hAnsi="Libre Baskerville"/>
                <w:sz w:val="24"/>
                <w:szCs w:val="24"/>
              </w:rPr>
            </w:pPr>
          </w:p>
        </w:tc>
        <w:tc>
          <w:tcPr>
            <w:tcW w:w="2780" w:type="dxa"/>
          </w:tcPr>
          <w:p w14:paraId="7A196B1A"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3C2EB86F"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will include topics of intensive therapy programs, constraint- induced therapy, and casting/splinting</w:t>
            </w:r>
          </w:p>
          <w:p w14:paraId="67665B0E"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r>
    </w:tbl>
    <w:p w14:paraId="4FF3B1CA" w14:textId="77777777" w:rsidR="00872E39" w:rsidRDefault="00872E39" w:rsidP="00872E39">
      <w:pPr>
        <w:tabs>
          <w:tab w:val="left" w:pos="2505"/>
        </w:tabs>
        <w:rPr>
          <w:rFonts w:ascii="Libre Baskerville" w:hAnsi="Libre Baskerville"/>
          <w:sz w:val="24"/>
          <w:szCs w:val="24"/>
        </w:rPr>
      </w:pPr>
    </w:p>
    <w:tbl>
      <w:tblPr>
        <w:tblStyle w:val="GridTable1Light-Accent1"/>
        <w:tblW w:w="0" w:type="auto"/>
        <w:tblLook w:val="04A0" w:firstRow="1" w:lastRow="0" w:firstColumn="1" w:lastColumn="0" w:noHBand="0" w:noVBand="1"/>
      </w:tblPr>
      <w:tblGrid>
        <w:gridCol w:w="3288"/>
        <w:gridCol w:w="2780"/>
        <w:gridCol w:w="3282"/>
      </w:tblGrid>
      <w:tr w:rsidR="00872E39" w14:paraId="567A6E8E" w14:textId="77777777" w:rsidTr="006F2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14:paraId="52F88313"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Day 2/Sunday 8 Hours</w:t>
            </w:r>
          </w:p>
        </w:tc>
        <w:tc>
          <w:tcPr>
            <w:tcW w:w="2780" w:type="dxa"/>
          </w:tcPr>
          <w:p w14:paraId="22C950F0" w14:textId="77777777" w:rsidR="00872E39" w:rsidRDefault="00872E39" w:rsidP="006F2616">
            <w:pPr>
              <w:tabs>
                <w:tab w:val="left" w:pos="2505"/>
              </w:tabs>
              <w:cnfStyle w:val="100000000000" w:firstRow="1"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2032C348" w14:textId="77777777" w:rsidR="00872E39" w:rsidRDefault="00872E39" w:rsidP="006F2616">
            <w:pPr>
              <w:tabs>
                <w:tab w:val="left" w:pos="2505"/>
              </w:tabs>
              <w:cnfStyle w:val="100000000000" w:firstRow="1" w:lastRow="0" w:firstColumn="0" w:lastColumn="0" w:oddVBand="0" w:evenVBand="0" w:oddHBand="0" w:evenHBand="0" w:firstRowFirstColumn="0" w:firstRowLastColumn="0" w:lastRowFirstColumn="0" w:lastRowLastColumn="0"/>
              <w:rPr>
                <w:rFonts w:ascii="Libre Baskerville" w:hAnsi="Libre Baskerville"/>
                <w:sz w:val="24"/>
                <w:szCs w:val="24"/>
              </w:rPr>
            </w:pPr>
          </w:p>
        </w:tc>
      </w:tr>
      <w:tr w:rsidR="00872E39" w14:paraId="4515B49C"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31F02FC7"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8:00</w:t>
            </w:r>
          </w:p>
        </w:tc>
        <w:tc>
          <w:tcPr>
            <w:tcW w:w="2780" w:type="dxa"/>
          </w:tcPr>
          <w:p w14:paraId="6665B83D"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6759D8EB"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Review</w:t>
            </w:r>
          </w:p>
          <w:p w14:paraId="7CE3AAA0"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r>
      <w:tr w:rsidR="00872E39" w14:paraId="5948E730"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6CBEA181"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8:30 – 10:00 </w:t>
            </w:r>
          </w:p>
        </w:tc>
        <w:tc>
          <w:tcPr>
            <w:tcW w:w="2780" w:type="dxa"/>
          </w:tcPr>
          <w:p w14:paraId="6846D416"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00434483"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 xml:space="preserve">Selection and adaptation of special equipment </w:t>
            </w:r>
          </w:p>
          <w:p w14:paraId="2FA7F403"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r>
      <w:tr w:rsidR="00872E39" w14:paraId="5E1F8BF6"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5CDA0B54"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10:30 - </w:t>
            </w:r>
          </w:p>
        </w:tc>
        <w:tc>
          <w:tcPr>
            <w:tcW w:w="2780" w:type="dxa"/>
          </w:tcPr>
          <w:p w14:paraId="33F18F20"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550C90E5"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 xml:space="preserve">Vestibular Rehabilitation </w:t>
            </w:r>
          </w:p>
        </w:tc>
      </w:tr>
      <w:tr w:rsidR="00872E39" w14:paraId="2188F97F"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7B495659"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12:00 </w:t>
            </w:r>
          </w:p>
        </w:tc>
        <w:tc>
          <w:tcPr>
            <w:tcW w:w="2780" w:type="dxa"/>
          </w:tcPr>
          <w:p w14:paraId="47828972"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75DFB0A7"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Lunch</w:t>
            </w:r>
          </w:p>
        </w:tc>
      </w:tr>
      <w:tr w:rsidR="00872E39" w14:paraId="3E6FA614" w14:textId="77777777" w:rsidTr="006F2616">
        <w:tc>
          <w:tcPr>
            <w:cnfStyle w:val="001000000000" w:firstRow="0" w:lastRow="0" w:firstColumn="1" w:lastColumn="0" w:oddVBand="0" w:evenVBand="0" w:oddHBand="0" w:evenHBand="0" w:firstRowFirstColumn="0" w:firstRowLastColumn="0" w:lastRowFirstColumn="0" w:lastRowLastColumn="0"/>
            <w:tcW w:w="3288" w:type="dxa"/>
          </w:tcPr>
          <w:p w14:paraId="1ED8364F" w14:textId="77777777" w:rsidR="00872E39" w:rsidRDefault="00872E39" w:rsidP="006F2616">
            <w:pPr>
              <w:tabs>
                <w:tab w:val="left" w:pos="2505"/>
              </w:tabs>
              <w:rPr>
                <w:rFonts w:ascii="Libre Baskerville" w:hAnsi="Libre Baskerville"/>
                <w:sz w:val="24"/>
                <w:szCs w:val="24"/>
              </w:rPr>
            </w:pPr>
            <w:r>
              <w:rPr>
                <w:rFonts w:ascii="Libre Baskerville" w:hAnsi="Libre Baskerville"/>
                <w:sz w:val="24"/>
                <w:szCs w:val="24"/>
              </w:rPr>
              <w:t xml:space="preserve">12:30 – 17:00 </w:t>
            </w:r>
          </w:p>
        </w:tc>
        <w:tc>
          <w:tcPr>
            <w:tcW w:w="2780" w:type="dxa"/>
          </w:tcPr>
          <w:p w14:paraId="67A83EE0"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p>
        </w:tc>
        <w:tc>
          <w:tcPr>
            <w:tcW w:w="3282" w:type="dxa"/>
          </w:tcPr>
          <w:p w14:paraId="3C8110D6" w14:textId="77777777" w:rsidR="00872E39" w:rsidRDefault="00872E39" w:rsidP="006F2616">
            <w:pPr>
              <w:tabs>
                <w:tab w:val="left" w:pos="2505"/>
              </w:tabs>
              <w:cnfStyle w:val="000000000000" w:firstRow="0" w:lastRow="0" w:firstColumn="0" w:lastColumn="0" w:oddVBand="0" w:evenVBand="0" w:oddHBand="0" w:evenHBand="0" w:firstRowFirstColumn="0" w:firstRowLastColumn="0" w:lastRowFirstColumn="0" w:lastRowLastColumn="0"/>
              <w:rPr>
                <w:rFonts w:ascii="Libre Baskerville" w:hAnsi="Libre Baskerville"/>
                <w:sz w:val="24"/>
                <w:szCs w:val="24"/>
              </w:rPr>
            </w:pPr>
            <w:r>
              <w:rPr>
                <w:rFonts w:ascii="Libre Baskerville" w:hAnsi="Libre Baskerville"/>
                <w:sz w:val="24"/>
                <w:szCs w:val="24"/>
              </w:rPr>
              <w:t>Senso</w:t>
            </w:r>
            <w:r w:rsidR="004B71C7">
              <w:rPr>
                <w:rFonts w:ascii="Libre Baskerville" w:hAnsi="Libre Baskerville"/>
                <w:sz w:val="24"/>
                <w:szCs w:val="24"/>
              </w:rPr>
              <w:t xml:space="preserve">ry Motor Rehabilitation </w:t>
            </w:r>
            <w:r>
              <w:rPr>
                <w:rFonts w:ascii="Libre Baskerville" w:hAnsi="Libre Baskerville"/>
                <w:sz w:val="24"/>
                <w:szCs w:val="24"/>
              </w:rPr>
              <w:t xml:space="preserve"> includin</w:t>
            </w:r>
            <w:r w:rsidR="004B71C7">
              <w:rPr>
                <w:rFonts w:ascii="Libre Baskerville" w:hAnsi="Libre Baskerville"/>
                <w:sz w:val="24"/>
                <w:szCs w:val="24"/>
              </w:rPr>
              <w:t>g vestibular rehabilitation and in</w:t>
            </w:r>
            <w:r>
              <w:rPr>
                <w:rFonts w:ascii="Libre Baskerville" w:hAnsi="Libre Baskerville"/>
                <w:sz w:val="24"/>
                <w:szCs w:val="24"/>
              </w:rPr>
              <w:t>tervention for ASD and DCD</w:t>
            </w:r>
          </w:p>
        </w:tc>
      </w:tr>
    </w:tbl>
    <w:p w14:paraId="5C4319EA" w14:textId="77777777" w:rsidR="00872E39" w:rsidRDefault="00872E39" w:rsidP="00872E39"/>
    <w:p w14:paraId="15461F3F" w14:textId="77777777" w:rsidR="000517CF" w:rsidRDefault="000517CF" w:rsidP="00CC54FA">
      <w:pPr>
        <w:spacing w:after="0" w:line="240" w:lineRule="auto"/>
        <w:jc w:val="both"/>
        <w:rPr>
          <w:rFonts w:ascii="Arial Narrow" w:eastAsiaTheme="minorEastAsia" w:hAnsi="Arial Narrow" w:cs="Times New Roman"/>
          <w:b/>
        </w:rPr>
      </w:pPr>
    </w:p>
    <w:p w14:paraId="3E296351" w14:textId="77777777" w:rsidR="003F6AE6" w:rsidRDefault="003F6AE6">
      <w:pPr>
        <w:rPr>
          <w:rFonts w:ascii="Arial Narrow" w:eastAsiaTheme="minorEastAsia" w:hAnsi="Arial Narrow" w:cs="Times New Roman"/>
          <w:b/>
        </w:rPr>
      </w:pPr>
      <w:r>
        <w:rPr>
          <w:rFonts w:ascii="Arial Narrow" w:eastAsiaTheme="minorEastAsia" w:hAnsi="Arial Narrow" w:cs="Times New Roman"/>
          <w:b/>
        </w:rPr>
        <w:br w:type="page"/>
      </w:r>
    </w:p>
    <w:p w14:paraId="54D3F371" w14:textId="77777777" w:rsidR="00CC54FA" w:rsidRPr="00CC54FA" w:rsidRDefault="00CC54FA" w:rsidP="00CC54FA">
      <w:pPr>
        <w:spacing w:after="0" w:line="240" w:lineRule="auto"/>
        <w:jc w:val="both"/>
        <w:rPr>
          <w:rFonts w:ascii="Arial Narrow" w:eastAsiaTheme="minorEastAsia" w:hAnsi="Arial Narrow" w:cs="Times New Roman"/>
          <w:b/>
        </w:rPr>
      </w:pPr>
      <w:r w:rsidRPr="00CC54FA">
        <w:rPr>
          <w:rFonts w:ascii="Arial Narrow" w:eastAsiaTheme="minorEastAsia" w:hAnsi="Arial Narrow" w:cs="Times New Roman"/>
          <w:b/>
        </w:rPr>
        <w:t>Academic Integrity:</w:t>
      </w:r>
    </w:p>
    <w:p w14:paraId="622F07CC" w14:textId="77777777" w:rsidR="00CC54FA" w:rsidRPr="00CC54FA" w:rsidRDefault="00CC54FA" w:rsidP="00CC54FA">
      <w:pPr>
        <w:spacing w:after="0" w:line="240" w:lineRule="auto"/>
        <w:jc w:val="both"/>
        <w:rPr>
          <w:rFonts w:ascii="Arial Narrow" w:eastAsiaTheme="minorEastAsia" w:hAnsi="Arial Narrow" w:cs="Times New Roman"/>
          <w:b/>
        </w:rPr>
      </w:pPr>
    </w:p>
    <w:p w14:paraId="414AFD78" w14:textId="77777777" w:rsidR="00CC54FA" w:rsidRPr="00CC54FA" w:rsidRDefault="00CC54FA" w:rsidP="00CC54FA">
      <w:pPr>
        <w:spacing w:after="0" w:line="240" w:lineRule="auto"/>
        <w:jc w:val="both"/>
        <w:rPr>
          <w:rFonts w:ascii="Arial Narrow" w:eastAsiaTheme="minorEastAsia" w:hAnsi="Arial Narrow" w:cs="Times New Roman"/>
        </w:rPr>
      </w:pPr>
      <w:r w:rsidRPr="00CC54FA">
        <w:rPr>
          <w:rFonts w:ascii="Arial Narrow" w:eastAsiaTheme="minorEastAsia" w:hAnsi="Arial Narrow" w:cs="Times New Roman"/>
        </w:rPr>
        <w:t>Each student in this course is expected to abide by the Evidence In Motion and Partners Code of Academic Integrity.  Any work submitted by a student in this course for academic credit will be the student's own work.</w:t>
      </w:r>
    </w:p>
    <w:p w14:paraId="74EAAEB2" w14:textId="77777777" w:rsidR="00CC54FA" w:rsidRPr="00CC54FA" w:rsidRDefault="00CC54FA" w:rsidP="00CC54FA">
      <w:pPr>
        <w:spacing w:after="0" w:line="240" w:lineRule="auto"/>
        <w:jc w:val="both"/>
        <w:rPr>
          <w:rFonts w:ascii="Arial Narrow" w:eastAsiaTheme="minorEastAsia" w:hAnsi="Arial Narrow" w:cs="Times New Roman"/>
        </w:rPr>
      </w:pPr>
    </w:p>
    <w:p w14:paraId="6A3CD527" w14:textId="77777777" w:rsidR="003F6AE6" w:rsidRDefault="003F6AE6" w:rsidP="00CC54FA">
      <w:pPr>
        <w:spacing w:after="0" w:line="240" w:lineRule="auto"/>
        <w:jc w:val="both"/>
        <w:rPr>
          <w:rFonts w:ascii="Arial Narrow" w:eastAsiaTheme="minorEastAsia" w:hAnsi="Arial Narrow" w:cs="Times New Roman"/>
          <w:b/>
        </w:rPr>
      </w:pPr>
    </w:p>
    <w:p w14:paraId="3ACA27FD" w14:textId="0505F066" w:rsidR="00CC54FA" w:rsidRDefault="00CC54FA" w:rsidP="00CC54FA">
      <w:pPr>
        <w:spacing w:after="0" w:line="240" w:lineRule="auto"/>
        <w:jc w:val="both"/>
        <w:rPr>
          <w:rFonts w:ascii="Arial Narrow" w:eastAsiaTheme="minorEastAsia" w:hAnsi="Arial Narrow" w:cs="Times New Roman"/>
          <w:b/>
          <w:color w:val="FF0000"/>
          <w:sz w:val="32"/>
          <w:szCs w:val="32"/>
        </w:rPr>
      </w:pPr>
      <w:r w:rsidRPr="00CC54FA">
        <w:rPr>
          <w:rFonts w:ascii="Arial Narrow" w:eastAsiaTheme="minorEastAsia" w:hAnsi="Arial Narrow" w:cs="Times New Roman"/>
          <w:b/>
        </w:rPr>
        <w:t>References</w:t>
      </w:r>
      <w:r w:rsidR="003F6AE6">
        <w:rPr>
          <w:rFonts w:ascii="Arial Narrow" w:eastAsiaTheme="minorEastAsia" w:hAnsi="Arial Narrow" w:cs="Times New Roman"/>
          <w:b/>
        </w:rPr>
        <w:t xml:space="preserve"> or Bibliography</w:t>
      </w:r>
      <w:r w:rsidRPr="00CC54FA">
        <w:rPr>
          <w:rFonts w:ascii="Arial Narrow" w:eastAsiaTheme="minorEastAsia" w:hAnsi="Arial Narrow" w:cs="Times New Roman"/>
          <w:b/>
        </w:rPr>
        <w:t>:</w:t>
      </w:r>
      <w:r w:rsidR="000517CF">
        <w:rPr>
          <w:rFonts w:ascii="Arial Narrow" w:eastAsiaTheme="minorEastAsia" w:hAnsi="Arial Narrow" w:cs="Times New Roman"/>
          <w:b/>
        </w:rPr>
        <w:t xml:space="preserve"> List all course references here</w:t>
      </w:r>
      <w:r w:rsidR="000517CF" w:rsidRPr="00CB719D">
        <w:rPr>
          <w:rFonts w:ascii="Arial Narrow" w:eastAsiaTheme="minorEastAsia" w:hAnsi="Arial Narrow" w:cs="Times New Roman"/>
          <w:b/>
          <w:color w:val="FF0000"/>
          <w:sz w:val="32"/>
          <w:szCs w:val="32"/>
        </w:rPr>
        <w:t xml:space="preserve"> </w:t>
      </w:r>
    </w:p>
    <w:p w14:paraId="786CE12F" w14:textId="77777777" w:rsidR="00CC54FA" w:rsidRPr="00CC54FA" w:rsidRDefault="00CC54FA" w:rsidP="00CC54FA">
      <w:pPr>
        <w:spacing w:after="0" w:line="240" w:lineRule="auto"/>
        <w:jc w:val="both"/>
        <w:rPr>
          <w:rFonts w:ascii="Arial Narrow" w:eastAsiaTheme="minorEastAsia" w:hAnsi="Arial Narrow" w:cs="Times New Roman"/>
          <w:b/>
        </w:rPr>
      </w:pPr>
    </w:p>
    <w:p w14:paraId="0407C4D5" w14:textId="77777777" w:rsidR="000517CF" w:rsidRDefault="000517CF" w:rsidP="00CC54FA">
      <w:pPr>
        <w:pStyle w:val="NoSpacing"/>
        <w:jc w:val="center"/>
        <w:rPr>
          <w:rFonts w:ascii="Libre Baskerville" w:hAnsi="Libre Baskerville"/>
          <w:sz w:val="24"/>
          <w:szCs w:val="24"/>
        </w:rPr>
      </w:pPr>
    </w:p>
    <w:p w14:paraId="3916E37D" w14:textId="77777777" w:rsidR="00394125" w:rsidRPr="00394125" w:rsidRDefault="00394125" w:rsidP="00394125">
      <w:pPr>
        <w:pStyle w:val="Bibliography"/>
        <w:rPr>
          <w:rFonts w:ascii="Arial Narrow" w:hAnsi="Arial Narrow"/>
        </w:rPr>
      </w:pPr>
      <w:r w:rsidRPr="00394125">
        <w:rPr>
          <w:rFonts w:ascii="Arial Narrow" w:hAnsi="Arial Narrow"/>
        </w:rPr>
        <w:t xml:space="preserve">Ahmad, F. K. (2015). </w:t>
      </w:r>
      <w:r w:rsidRPr="00394125">
        <w:rPr>
          <w:rFonts w:ascii="Arial Narrow" w:hAnsi="Arial Narrow"/>
          <w:i/>
          <w:iCs/>
        </w:rPr>
        <w:t>Use of Assistive Technology in Inclusive Education: Making Room for Diverse Learning Needs</w:t>
      </w:r>
      <w:r w:rsidRPr="00394125">
        <w:rPr>
          <w:rFonts w:ascii="Arial Narrow" w:hAnsi="Arial Narrow"/>
        </w:rPr>
        <w:t xml:space="preserve">. </w:t>
      </w:r>
      <w:r w:rsidRPr="00394125">
        <w:rPr>
          <w:rFonts w:ascii="Arial Narrow" w:hAnsi="Arial Narrow"/>
          <w:i/>
          <w:iCs/>
        </w:rPr>
        <w:t>6</w:t>
      </w:r>
      <w:r w:rsidRPr="00394125">
        <w:rPr>
          <w:rFonts w:ascii="Arial Narrow" w:hAnsi="Arial Narrow"/>
        </w:rPr>
        <w:t>(2), 16.</w:t>
      </w:r>
    </w:p>
    <w:p w14:paraId="3E221085" w14:textId="77777777" w:rsidR="00394125" w:rsidRPr="00394125" w:rsidRDefault="00394125" w:rsidP="00394125">
      <w:pPr>
        <w:pStyle w:val="Bibliography"/>
        <w:rPr>
          <w:rFonts w:ascii="Arial Narrow" w:hAnsi="Arial Narrow"/>
        </w:rPr>
      </w:pPr>
      <w:r w:rsidRPr="00394125">
        <w:rPr>
          <w:rFonts w:ascii="Arial Narrow" w:hAnsi="Arial Narrow"/>
        </w:rPr>
        <w:t xml:space="preserve">Bailes, A. F., Reder, R., &amp; Burch, C. (2008). Development of Guidelines for Determining Frequency of Therapy Services in a Pediatric Medical Setting. </w:t>
      </w:r>
      <w:r w:rsidRPr="00394125">
        <w:rPr>
          <w:rFonts w:ascii="Arial Narrow" w:hAnsi="Arial Narrow"/>
          <w:i/>
          <w:iCs/>
        </w:rPr>
        <w:t>Pediatric Physical Therapy</w:t>
      </w:r>
      <w:r w:rsidRPr="00394125">
        <w:rPr>
          <w:rFonts w:ascii="Arial Narrow" w:hAnsi="Arial Narrow"/>
        </w:rPr>
        <w:t xml:space="preserve">, </w:t>
      </w:r>
      <w:r w:rsidRPr="00394125">
        <w:rPr>
          <w:rFonts w:ascii="Arial Narrow" w:hAnsi="Arial Narrow"/>
          <w:i/>
          <w:iCs/>
        </w:rPr>
        <w:t>20</w:t>
      </w:r>
      <w:r w:rsidRPr="00394125">
        <w:rPr>
          <w:rFonts w:ascii="Arial Narrow" w:hAnsi="Arial Narrow"/>
        </w:rPr>
        <w:t>(2), 194. https://doi.org/10.1097/PEP.0b013e3181728a7b</w:t>
      </w:r>
    </w:p>
    <w:p w14:paraId="3BE09D8D" w14:textId="77777777" w:rsidR="00394125" w:rsidRPr="00394125" w:rsidRDefault="00394125" w:rsidP="00394125">
      <w:pPr>
        <w:pStyle w:val="Bibliography"/>
        <w:rPr>
          <w:rFonts w:ascii="Arial Narrow" w:hAnsi="Arial Narrow"/>
        </w:rPr>
      </w:pPr>
      <w:r w:rsidRPr="00394125">
        <w:rPr>
          <w:rFonts w:ascii="Arial Narrow" w:hAnsi="Arial Narrow"/>
        </w:rPr>
        <w:t xml:space="preserve">Blank, R. (2012). Information for parents and teachers on the European Academy for Childhood Disability (EACD) recommendations on Developmental Coordination Disorder*. </w:t>
      </w:r>
      <w:r w:rsidRPr="00394125">
        <w:rPr>
          <w:rFonts w:ascii="Arial Narrow" w:hAnsi="Arial Narrow"/>
          <w:i/>
          <w:iCs/>
        </w:rPr>
        <w:t>Developmental Medicine &amp; Child Neurology</w:t>
      </w:r>
      <w:r w:rsidRPr="00394125">
        <w:rPr>
          <w:rFonts w:ascii="Arial Narrow" w:hAnsi="Arial Narrow"/>
        </w:rPr>
        <w:t xml:space="preserve">, </w:t>
      </w:r>
      <w:r w:rsidRPr="00394125">
        <w:rPr>
          <w:rFonts w:ascii="Arial Narrow" w:hAnsi="Arial Narrow"/>
          <w:i/>
          <w:iCs/>
        </w:rPr>
        <w:t>54</w:t>
      </w:r>
      <w:r w:rsidRPr="00394125">
        <w:rPr>
          <w:rFonts w:ascii="Arial Narrow" w:hAnsi="Arial Narrow"/>
        </w:rPr>
        <w:t>(11), e8–e9. https://doi.org/10.1111/j.1469-8749.2012.04230.x</w:t>
      </w:r>
    </w:p>
    <w:p w14:paraId="3308FEE5" w14:textId="77777777" w:rsidR="00394125" w:rsidRPr="00394125" w:rsidRDefault="00394125" w:rsidP="00394125">
      <w:pPr>
        <w:pStyle w:val="Bibliography"/>
        <w:rPr>
          <w:rFonts w:ascii="Arial Narrow" w:hAnsi="Arial Narrow"/>
        </w:rPr>
      </w:pPr>
      <w:r w:rsidRPr="00394125">
        <w:rPr>
          <w:rFonts w:ascii="Arial Narrow" w:hAnsi="Arial Narrow"/>
        </w:rPr>
        <w:t xml:space="preserve">Chiarello, L. A. (2017). Excellence in Promoting Participation: Striving for the 10 Cs—Client-Centered Care, Consideration of Complexity, Collaboration, Coaching, Capacity Building, Contextualization, Creativity, Community, Curricular Changes, and Curiosity. </w:t>
      </w:r>
      <w:r w:rsidRPr="00394125">
        <w:rPr>
          <w:rFonts w:ascii="Arial Narrow" w:hAnsi="Arial Narrow"/>
          <w:i/>
          <w:iCs/>
        </w:rPr>
        <w:t>Pediatric Physical Therapy</w:t>
      </w:r>
      <w:r w:rsidRPr="00394125">
        <w:rPr>
          <w:rFonts w:ascii="Arial Narrow" w:hAnsi="Arial Narrow"/>
        </w:rPr>
        <w:t xml:space="preserve">, </w:t>
      </w:r>
      <w:r w:rsidRPr="00394125">
        <w:rPr>
          <w:rFonts w:ascii="Arial Narrow" w:hAnsi="Arial Narrow"/>
          <w:i/>
          <w:iCs/>
        </w:rPr>
        <w:t>29</w:t>
      </w:r>
      <w:r w:rsidRPr="00394125">
        <w:rPr>
          <w:rFonts w:ascii="Arial Narrow" w:hAnsi="Arial Narrow"/>
        </w:rPr>
        <w:t>, S16. https://doi.org/10.1097/PEP.0000000000000382</w:t>
      </w:r>
    </w:p>
    <w:p w14:paraId="7B275468" w14:textId="77777777" w:rsidR="00394125" w:rsidRPr="00394125" w:rsidRDefault="00394125" w:rsidP="00394125">
      <w:pPr>
        <w:pStyle w:val="Bibliography"/>
        <w:rPr>
          <w:rFonts w:ascii="Arial Narrow" w:hAnsi="Arial Narrow"/>
        </w:rPr>
      </w:pPr>
      <w:r w:rsidRPr="00394125">
        <w:rPr>
          <w:rFonts w:ascii="Arial Narrow" w:hAnsi="Arial Narrow"/>
        </w:rPr>
        <w:t>Current knowledge on motor disorders in children with autism spectrum disorder (ASD): Child Neuropsychology: Vol 22, No 7. (n.d.). Retrieved April 23, 2019, from https://www.tandfonline.com/doi/abs/10.1080/09297049.2015.1085501</w:t>
      </w:r>
    </w:p>
    <w:p w14:paraId="2EDE02FB" w14:textId="77777777" w:rsidR="00394125" w:rsidRPr="00394125" w:rsidRDefault="00394125" w:rsidP="00394125">
      <w:pPr>
        <w:pStyle w:val="Bibliography"/>
        <w:rPr>
          <w:rFonts w:ascii="Arial Narrow" w:hAnsi="Arial Narrow"/>
        </w:rPr>
      </w:pPr>
      <w:r w:rsidRPr="00394125">
        <w:rPr>
          <w:rFonts w:ascii="Arial Narrow" w:hAnsi="Arial Narrow"/>
        </w:rPr>
        <w:t xml:space="preserve">Dusing, S. C., &amp; Harbourne, R. T. (2010). Variability in Postural Control During Infancy: Implications for Development, Assessment, and Intervention. </w:t>
      </w:r>
      <w:r w:rsidRPr="00394125">
        <w:rPr>
          <w:rFonts w:ascii="Arial Narrow" w:hAnsi="Arial Narrow"/>
          <w:i/>
          <w:iCs/>
        </w:rPr>
        <w:t>Physical Therapy</w:t>
      </w:r>
      <w:r w:rsidRPr="00394125">
        <w:rPr>
          <w:rFonts w:ascii="Arial Narrow" w:hAnsi="Arial Narrow"/>
        </w:rPr>
        <w:t xml:space="preserve">, </w:t>
      </w:r>
      <w:r w:rsidRPr="00394125">
        <w:rPr>
          <w:rFonts w:ascii="Arial Narrow" w:hAnsi="Arial Narrow"/>
          <w:i/>
          <w:iCs/>
        </w:rPr>
        <w:t>90</w:t>
      </w:r>
      <w:r w:rsidRPr="00394125">
        <w:rPr>
          <w:rFonts w:ascii="Arial Narrow" w:hAnsi="Arial Narrow"/>
        </w:rPr>
        <w:t>(12), 1838–1849. https://doi.org/10.2522/ptj.2010033</w:t>
      </w:r>
    </w:p>
    <w:p w14:paraId="162531ED" w14:textId="77777777" w:rsidR="00394125" w:rsidRPr="00394125" w:rsidRDefault="00394125" w:rsidP="00394125">
      <w:pPr>
        <w:pStyle w:val="Bibliography"/>
        <w:rPr>
          <w:rFonts w:ascii="Arial Narrow" w:hAnsi="Arial Narrow"/>
        </w:rPr>
      </w:pPr>
      <w:r w:rsidRPr="00394125">
        <w:rPr>
          <w:rFonts w:ascii="Arial Narrow" w:hAnsi="Arial Narrow"/>
        </w:rPr>
        <w:t xml:space="preserve">Gannotti, M. E. (2017). Coupling Timing of interventions with Dose to Optimize Plasticity and Participation in Pediatric Neurologic Populations. </w:t>
      </w:r>
      <w:r w:rsidRPr="00394125">
        <w:rPr>
          <w:rFonts w:ascii="Arial Narrow" w:hAnsi="Arial Narrow"/>
          <w:i/>
          <w:iCs/>
        </w:rPr>
        <w:t>Pediatric Physical Therapy</w:t>
      </w:r>
      <w:r w:rsidRPr="00394125">
        <w:rPr>
          <w:rFonts w:ascii="Arial" w:hAnsi="Arial" w:cs="Arial"/>
          <w:i/>
          <w:iCs/>
        </w:rPr>
        <w:t> </w:t>
      </w:r>
      <w:r w:rsidRPr="00394125">
        <w:rPr>
          <w:rFonts w:ascii="Arial Narrow" w:hAnsi="Arial Narrow"/>
          <w:i/>
          <w:iCs/>
        </w:rPr>
        <w:t>: The Official Publication of the Section on Pediatrics of the American Physical Therapy Association</w:t>
      </w:r>
      <w:r w:rsidRPr="00394125">
        <w:rPr>
          <w:rFonts w:ascii="Arial Narrow" w:hAnsi="Arial Narrow"/>
        </w:rPr>
        <w:t xml:space="preserve">, </w:t>
      </w:r>
      <w:r w:rsidRPr="00394125">
        <w:rPr>
          <w:rFonts w:ascii="Arial Narrow" w:hAnsi="Arial Narrow"/>
          <w:i/>
          <w:iCs/>
        </w:rPr>
        <w:t>29</w:t>
      </w:r>
      <w:r w:rsidRPr="00394125">
        <w:rPr>
          <w:rFonts w:ascii="Arial Narrow" w:hAnsi="Arial Narrow"/>
        </w:rPr>
        <w:t>(Suppl 3 IV STEP 2016 CONFERENCE PROCEEDINGS), S37. https://doi.org/10.1097/PEP.0000000000000383</w:t>
      </w:r>
    </w:p>
    <w:p w14:paraId="2BF9034D" w14:textId="77777777" w:rsidR="00394125" w:rsidRPr="00394125" w:rsidRDefault="00394125" w:rsidP="00394125">
      <w:pPr>
        <w:pStyle w:val="Bibliography"/>
        <w:rPr>
          <w:rFonts w:ascii="Arial Narrow" w:hAnsi="Arial Narrow"/>
        </w:rPr>
      </w:pPr>
      <w:r w:rsidRPr="00394125">
        <w:rPr>
          <w:rFonts w:ascii="Arial Narrow" w:hAnsi="Arial Narrow"/>
        </w:rPr>
        <w:t xml:space="preserve">Harris, S. R., &amp; Winstein, C. J. (2017). The Past, Present, and Future of Neurorehabilitation: From NUSTEP Through IV STEP and Beyond. </w:t>
      </w:r>
      <w:r w:rsidRPr="00394125">
        <w:rPr>
          <w:rFonts w:ascii="Arial Narrow" w:hAnsi="Arial Narrow"/>
          <w:i/>
          <w:iCs/>
        </w:rPr>
        <w:t>Journal of Neurologic Physical Therapy: JNPT</w:t>
      </w:r>
      <w:r w:rsidRPr="00394125">
        <w:rPr>
          <w:rFonts w:ascii="Arial Narrow" w:hAnsi="Arial Narrow"/>
        </w:rPr>
        <w:t xml:space="preserve">, </w:t>
      </w:r>
      <w:r w:rsidRPr="00394125">
        <w:rPr>
          <w:rFonts w:ascii="Arial Narrow" w:hAnsi="Arial Narrow"/>
          <w:i/>
          <w:iCs/>
        </w:rPr>
        <w:t>41 Suppl 3</w:t>
      </w:r>
      <w:r w:rsidRPr="00394125">
        <w:rPr>
          <w:rFonts w:ascii="Arial Narrow" w:hAnsi="Arial Narrow"/>
        </w:rPr>
        <w:t>, S3–S9. https://doi.org/10.1097/NPT.0000000000000193</w:t>
      </w:r>
    </w:p>
    <w:p w14:paraId="0B006F47" w14:textId="77777777" w:rsidR="00394125" w:rsidRPr="00394125" w:rsidRDefault="00394125" w:rsidP="00394125">
      <w:pPr>
        <w:pStyle w:val="Bibliography"/>
        <w:rPr>
          <w:rFonts w:ascii="Arial Narrow" w:hAnsi="Arial Narrow"/>
        </w:rPr>
      </w:pPr>
      <w:r w:rsidRPr="00394125">
        <w:rPr>
          <w:rFonts w:ascii="Arial Narrow" w:hAnsi="Arial Narrow"/>
        </w:rPr>
        <w:t>International Classification of Functioning, Disability and Health Core Sets for children and youth with cerebral palsy: a consensus meeting - Schiariti - 2015 - Developmental Medicine &amp;amp; Child Neurology - Wiley Online Library. (n.d.). Retrieved April 23, 2019, from https://onlinelibrary.wiley.com/doi/full/10.1111/dmcn.12551</w:t>
      </w:r>
    </w:p>
    <w:p w14:paraId="2AB9A327" w14:textId="77777777" w:rsidR="00394125" w:rsidRPr="00394125" w:rsidRDefault="00394125" w:rsidP="00394125">
      <w:pPr>
        <w:pStyle w:val="Bibliography"/>
        <w:rPr>
          <w:rFonts w:ascii="Arial Narrow" w:hAnsi="Arial Narrow"/>
        </w:rPr>
      </w:pPr>
      <w:r w:rsidRPr="00394125">
        <w:rPr>
          <w:rFonts w:ascii="Arial Narrow" w:hAnsi="Arial Narrow"/>
        </w:rPr>
        <w:t xml:space="preserve">Ismail, F. Y., Fatemi, A., &amp; Johnston, M. V. (2017). Cerebral plasticity: Windows of opportunity in the developing brain. </w:t>
      </w:r>
      <w:r w:rsidRPr="00394125">
        <w:rPr>
          <w:rFonts w:ascii="Arial Narrow" w:hAnsi="Arial Narrow"/>
          <w:i/>
          <w:iCs/>
        </w:rPr>
        <w:t>European Journal of Paediatric Neurology</w:t>
      </w:r>
      <w:r w:rsidRPr="00394125">
        <w:rPr>
          <w:rFonts w:ascii="Arial Narrow" w:hAnsi="Arial Narrow"/>
        </w:rPr>
        <w:t xml:space="preserve">, </w:t>
      </w:r>
      <w:r w:rsidRPr="00394125">
        <w:rPr>
          <w:rFonts w:ascii="Arial Narrow" w:hAnsi="Arial Narrow"/>
          <w:i/>
          <w:iCs/>
        </w:rPr>
        <w:t>21</w:t>
      </w:r>
      <w:r w:rsidRPr="00394125">
        <w:rPr>
          <w:rFonts w:ascii="Arial Narrow" w:hAnsi="Arial Narrow"/>
        </w:rPr>
        <w:t>(1), 23–48. https://doi.org/10.1016/j.ejpn.2016.07.007</w:t>
      </w:r>
    </w:p>
    <w:p w14:paraId="2EB4D707" w14:textId="77777777" w:rsidR="00394125" w:rsidRPr="00394125" w:rsidRDefault="00394125" w:rsidP="00394125">
      <w:pPr>
        <w:pStyle w:val="Bibliography"/>
        <w:rPr>
          <w:rFonts w:ascii="Arial Narrow" w:hAnsi="Arial Narrow"/>
        </w:rPr>
      </w:pPr>
      <w:r w:rsidRPr="00394125">
        <w:rPr>
          <w:rFonts w:ascii="Arial Narrow" w:hAnsi="Arial Narrow"/>
        </w:rPr>
        <w:t xml:space="preserve">Jeffries, L., Fiss, A., McCoy, S. W., &amp; Bartlett, D. J. (2016). Description of Primary and Secondary Impairments in Young Children With Cerebral Palsy. </w:t>
      </w:r>
      <w:r w:rsidRPr="00394125">
        <w:rPr>
          <w:rFonts w:ascii="Arial Narrow" w:hAnsi="Arial Narrow"/>
          <w:i/>
          <w:iCs/>
        </w:rPr>
        <w:t>Pediatric Physical Therapy</w:t>
      </w:r>
      <w:r w:rsidRPr="00394125">
        <w:rPr>
          <w:rFonts w:ascii="Arial Narrow" w:hAnsi="Arial Narrow"/>
        </w:rPr>
        <w:t xml:space="preserve">, </w:t>
      </w:r>
      <w:r w:rsidRPr="00394125">
        <w:rPr>
          <w:rFonts w:ascii="Arial Narrow" w:hAnsi="Arial Narrow"/>
          <w:i/>
          <w:iCs/>
        </w:rPr>
        <w:t>28</w:t>
      </w:r>
      <w:r w:rsidRPr="00394125">
        <w:rPr>
          <w:rFonts w:ascii="Arial Narrow" w:hAnsi="Arial Narrow"/>
        </w:rPr>
        <w:t>(1), 7. https://doi.org/10.1097/PEP.0000000000000221</w:t>
      </w:r>
    </w:p>
    <w:p w14:paraId="6AA9E26F" w14:textId="77777777" w:rsidR="00394125" w:rsidRPr="00394125" w:rsidRDefault="00394125" w:rsidP="00394125">
      <w:pPr>
        <w:pStyle w:val="Bibliography"/>
        <w:rPr>
          <w:rFonts w:ascii="Arial Narrow" w:hAnsi="Arial Narrow"/>
        </w:rPr>
      </w:pPr>
      <w:r w:rsidRPr="00394125">
        <w:rPr>
          <w:rFonts w:ascii="Arial Narrow" w:hAnsi="Arial Narrow"/>
        </w:rPr>
        <w:t xml:space="preserve">Kilbride, H. W., Aylward, G. P., &amp; Carter, B. (2018). What Are We Measuring as Outcome? Looking Beyond Neurodevelopmental Impairment. </w:t>
      </w:r>
      <w:r w:rsidRPr="00394125">
        <w:rPr>
          <w:rFonts w:ascii="Arial Narrow" w:hAnsi="Arial Narrow"/>
          <w:i/>
          <w:iCs/>
        </w:rPr>
        <w:t>Clinics in Perinatology</w:t>
      </w:r>
      <w:r w:rsidRPr="00394125">
        <w:rPr>
          <w:rFonts w:ascii="Arial Narrow" w:hAnsi="Arial Narrow"/>
        </w:rPr>
        <w:t xml:space="preserve">, </w:t>
      </w:r>
      <w:r w:rsidRPr="00394125">
        <w:rPr>
          <w:rFonts w:ascii="Arial Narrow" w:hAnsi="Arial Narrow"/>
          <w:i/>
          <w:iCs/>
        </w:rPr>
        <w:t>45</w:t>
      </w:r>
      <w:r w:rsidRPr="00394125">
        <w:rPr>
          <w:rFonts w:ascii="Arial Narrow" w:hAnsi="Arial Narrow"/>
        </w:rPr>
        <w:t>(3), 467–484. https://doi.org/10.1016/j.clp.2018.05.008</w:t>
      </w:r>
    </w:p>
    <w:p w14:paraId="1260B3B0" w14:textId="77777777" w:rsidR="00394125" w:rsidRPr="00394125" w:rsidRDefault="00394125" w:rsidP="00394125">
      <w:pPr>
        <w:pStyle w:val="Bibliography"/>
        <w:rPr>
          <w:rFonts w:ascii="Arial Narrow" w:hAnsi="Arial Narrow"/>
        </w:rPr>
      </w:pPr>
      <w:r w:rsidRPr="00394125">
        <w:rPr>
          <w:rFonts w:ascii="Arial Narrow" w:hAnsi="Arial Narrow"/>
        </w:rPr>
        <w:t xml:space="preserve">Kimberley, T. J., Novak, I., Boyd, L., Fowler, E., &amp; Larsen, D. (2017). Stepping Up to Rethink the Future of Rehabilitation: IV STEP Considerations and Inspirations. </w:t>
      </w:r>
      <w:r w:rsidRPr="00394125">
        <w:rPr>
          <w:rFonts w:ascii="Arial Narrow" w:hAnsi="Arial Narrow"/>
          <w:i/>
          <w:iCs/>
        </w:rPr>
        <w:t>Pediatric Physical Therapy</w:t>
      </w:r>
      <w:r w:rsidRPr="00394125">
        <w:rPr>
          <w:rFonts w:ascii="Arial" w:hAnsi="Arial" w:cs="Arial"/>
          <w:i/>
          <w:iCs/>
        </w:rPr>
        <w:t> </w:t>
      </w:r>
      <w:r w:rsidRPr="00394125">
        <w:rPr>
          <w:rFonts w:ascii="Arial Narrow" w:hAnsi="Arial Narrow"/>
          <w:i/>
          <w:iCs/>
        </w:rPr>
        <w:t>: The Official Publication of the Section on Pediatrics of the American Physical Therapy Association</w:t>
      </w:r>
      <w:r w:rsidRPr="00394125">
        <w:rPr>
          <w:rFonts w:ascii="Arial Narrow" w:hAnsi="Arial Narrow"/>
        </w:rPr>
        <w:t xml:space="preserve">, </w:t>
      </w:r>
      <w:r w:rsidRPr="00394125">
        <w:rPr>
          <w:rFonts w:ascii="Arial Narrow" w:hAnsi="Arial Narrow"/>
          <w:i/>
          <w:iCs/>
        </w:rPr>
        <w:t>29</w:t>
      </w:r>
      <w:r w:rsidRPr="00394125">
        <w:rPr>
          <w:rFonts w:ascii="Arial Narrow" w:hAnsi="Arial Narrow"/>
        </w:rPr>
        <w:t>(Suppl 3), S76–S85. https://doi.org/10.1097/PEP.0000000000000435</w:t>
      </w:r>
    </w:p>
    <w:p w14:paraId="22DA27FA" w14:textId="77777777" w:rsidR="00394125" w:rsidRPr="00394125" w:rsidRDefault="00394125" w:rsidP="00394125">
      <w:pPr>
        <w:pStyle w:val="Bibliography"/>
        <w:rPr>
          <w:rFonts w:ascii="Arial Narrow" w:hAnsi="Arial Narrow"/>
        </w:rPr>
      </w:pPr>
      <w:r w:rsidRPr="00394125">
        <w:rPr>
          <w:rFonts w:ascii="Arial Narrow" w:hAnsi="Arial Narrow"/>
        </w:rPr>
        <w:t xml:space="preserve">Lobo, M. A., &amp; Galloway, J. C. (2012). Enhanced Handling and Positioning in Early Infancy Advances Development Throughout the First Year. </w:t>
      </w:r>
      <w:r w:rsidRPr="00394125">
        <w:rPr>
          <w:rFonts w:ascii="Arial Narrow" w:hAnsi="Arial Narrow"/>
          <w:i/>
          <w:iCs/>
        </w:rPr>
        <w:t>Child Development</w:t>
      </w:r>
      <w:r w:rsidRPr="00394125">
        <w:rPr>
          <w:rFonts w:ascii="Arial Narrow" w:hAnsi="Arial Narrow"/>
        </w:rPr>
        <w:t xml:space="preserve">, </w:t>
      </w:r>
      <w:r w:rsidRPr="00394125">
        <w:rPr>
          <w:rFonts w:ascii="Arial Narrow" w:hAnsi="Arial Narrow"/>
          <w:i/>
          <w:iCs/>
        </w:rPr>
        <w:t>83</w:t>
      </w:r>
      <w:r w:rsidRPr="00394125">
        <w:rPr>
          <w:rFonts w:ascii="Arial Narrow" w:hAnsi="Arial Narrow"/>
        </w:rPr>
        <w:t>(4), 1290–1302. https://doi.org/10.1111/j.1467-8624.2012.01772.x</w:t>
      </w:r>
    </w:p>
    <w:p w14:paraId="263C6EC6" w14:textId="77777777" w:rsidR="00394125" w:rsidRPr="00394125" w:rsidRDefault="00394125" w:rsidP="00394125">
      <w:pPr>
        <w:pStyle w:val="Bibliography"/>
        <w:rPr>
          <w:rFonts w:ascii="Arial Narrow" w:hAnsi="Arial Narrow"/>
        </w:rPr>
      </w:pPr>
      <w:r w:rsidRPr="00394125">
        <w:rPr>
          <w:rFonts w:ascii="Arial Narrow" w:hAnsi="Arial Narrow"/>
        </w:rPr>
        <w:t xml:space="preserve">Martin, K., Inman, J., Kirschner, A., Deming, K., Gumbel, R., &amp; Voelker, L. (2005). Characteristics of Hypotonia in Children: A Consensus Opinion of Pediatric Occupational and Physical Therapists. </w:t>
      </w:r>
      <w:r w:rsidRPr="00394125">
        <w:rPr>
          <w:rFonts w:ascii="Arial Narrow" w:hAnsi="Arial Narrow"/>
          <w:i/>
          <w:iCs/>
        </w:rPr>
        <w:t>Pediatric Physical Therapy</w:t>
      </w:r>
      <w:r w:rsidRPr="00394125">
        <w:rPr>
          <w:rFonts w:ascii="Arial Narrow" w:hAnsi="Arial Narrow"/>
        </w:rPr>
        <w:t xml:space="preserve">, </w:t>
      </w:r>
      <w:r w:rsidRPr="00394125">
        <w:rPr>
          <w:rFonts w:ascii="Arial Narrow" w:hAnsi="Arial Narrow"/>
          <w:i/>
          <w:iCs/>
        </w:rPr>
        <w:t>17</w:t>
      </w:r>
      <w:r w:rsidRPr="00394125">
        <w:rPr>
          <w:rFonts w:ascii="Arial Narrow" w:hAnsi="Arial Narrow"/>
        </w:rPr>
        <w:t>(4), 275. https://doi.org/10.1097/01.pep.0000186506.48500.7c</w:t>
      </w:r>
    </w:p>
    <w:p w14:paraId="77726A4F" w14:textId="77777777" w:rsidR="00394125" w:rsidRPr="00394125" w:rsidRDefault="00394125" w:rsidP="00394125">
      <w:pPr>
        <w:pStyle w:val="Bibliography"/>
        <w:rPr>
          <w:rFonts w:ascii="Arial Narrow" w:hAnsi="Arial Narrow"/>
        </w:rPr>
      </w:pPr>
      <w:r w:rsidRPr="00394125">
        <w:rPr>
          <w:rFonts w:ascii="Arial Narrow" w:hAnsi="Arial Narrow"/>
        </w:rPr>
        <w:t xml:space="preserve">Martin, K., Kaltenmark, T., Lewallen, A., Smith, C., &amp; Yoshida, A. (2007). Clinical Characteristics of Hypotonia: A Survey of Pediatric Physical and Occupational Therapists. </w:t>
      </w:r>
      <w:r w:rsidRPr="00394125">
        <w:rPr>
          <w:rFonts w:ascii="Arial Narrow" w:hAnsi="Arial Narrow"/>
          <w:i/>
          <w:iCs/>
        </w:rPr>
        <w:t>Pediatric Physical Therapy</w:t>
      </w:r>
      <w:r w:rsidRPr="00394125">
        <w:rPr>
          <w:rFonts w:ascii="Arial Narrow" w:hAnsi="Arial Narrow"/>
        </w:rPr>
        <w:t xml:space="preserve">, </w:t>
      </w:r>
      <w:r w:rsidRPr="00394125">
        <w:rPr>
          <w:rFonts w:ascii="Arial Narrow" w:hAnsi="Arial Narrow"/>
          <w:i/>
          <w:iCs/>
        </w:rPr>
        <w:t>19</w:t>
      </w:r>
      <w:r w:rsidRPr="00394125">
        <w:rPr>
          <w:rFonts w:ascii="Arial Narrow" w:hAnsi="Arial Narrow"/>
        </w:rPr>
        <w:t>(3), 217. https://doi.org/10.1097/PEP.0b013e3180f62bb0</w:t>
      </w:r>
    </w:p>
    <w:p w14:paraId="7B65445E" w14:textId="77777777" w:rsidR="00394125" w:rsidRDefault="00394125" w:rsidP="00394125">
      <w:pPr>
        <w:pStyle w:val="Bibliography"/>
        <w:rPr>
          <w:rFonts w:ascii="Arial Narrow" w:hAnsi="Arial Narrow"/>
        </w:rPr>
      </w:pPr>
      <w:r w:rsidRPr="00394125">
        <w:rPr>
          <w:rFonts w:ascii="Arial Narrow" w:hAnsi="Arial Narrow"/>
        </w:rPr>
        <w:t xml:space="preserve">Mockler, S. R., McEwen, I. R., &amp; Jones, M. A. (2017). Retrospective Analysis of Predictors of Proficient Power Mobility in Young Children With Severe Motor Impairments. </w:t>
      </w:r>
      <w:r w:rsidRPr="00394125">
        <w:rPr>
          <w:rFonts w:ascii="Arial Narrow" w:hAnsi="Arial Narrow"/>
          <w:i/>
          <w:iCs/>
        </w:rPr>
        <w:t>Archives of Physical Medicine and Rehabilitation</w:t>
      </w:r>
      <w:r w:rsidRPr="00394125">
        <w:rPr>
          <w:rFonts w:ascii="Arial Narrow" w:hAnsi="Arial Narrow"/>
        </w:rPr>
        <w:t xml:space="preserve">, </w:t>
      </w:r>
      <w:r w:rsidRPr="00394125">
        <w:rPr>
          <w:rFonts w:ascii="Arial Narrow" w:hAnsi="Arial Narrow"/>
          <w:i/>
          <w:iCs/>
        </w:rPr>
        <w:t>98</w:t>
      </w:r>
      <w:r w:rsidRPr="00394125">
        <w:rPr>
          <w:rFonts w:ascii="Arial Narrow" w:hAnsi="Arial Narrow"/>
        </w:rPr>
        <w:t xml:space="preserve">(10), 2034–2041. </w:t>
      </w:r>
      <w:hyperlink r:id="rId13" w:history="1">
        <w:r w:rsidR="005C1062" w:rsidRPr="004D4B7D">
          <w:rPr>
            <w:rStyle w:val="Hyperlink"/>
            <w:rFonts w:ascii="Arial Narrow" w:hAnsi="Arial Narrow"/>
          </w:rPr>
          <w:t>https://doi.org/10.1016/j.apmr.2017.05.028</w:t>
        </w:r>
      </w:hyperlink>
    </w:p>
    <w:p w14:paraId="76FCCB19" w14:textId="77777777" w:rsidR="005C1062" w:rsidRPr="005C1062" w:rsidRDefault="005C1062" w:rsidP="005C1062">
      <w:pPr>
        <w:pStyle w:val="Bibliography"/>
      </w:pPr>
      <w:r>
        <w:rPr>
          <w:rFonts w:ascii="Arial Narrow" w:hAnsi="Arial Narrow"/>
        </w:rPr>
        <w:t xml:space="preserve">Novak I. </w:t>
      </w:r>
      <w:r w:rsidRPr="00394125">
        <w:rPr>
          <w:rFonts w:ascii="Arial Narrow" w:hAnsi="Arial Narrow"/>
        </w:rPr>
        <w:t>A systematic review of interventions for children with cerebral palsy: state o</w:t>
      </w:r>
      <w:r>
        <w:rPr>
          <w:rFonts w:ascii="Arial Narrow" w:hAnsi="Arial Narrow"/>
        </w:rPr>
        <w:t xml:space="preserve">f the evidence (2013) </w:t>
      </w:r>
      <w:r w:rsidRPr="00394125">
        <w:rPr>
          <w:rFonts w:ascii="Arial Narrow" w:hAnsi="Arial Narrow"/>
        </w:rPr>
        <w:t>Developmental Medicine &amp;amp; Child Neurology - Wiley Online Library. (n.d.). Retrieved April 23, 2019, from https://onlinelibrary.wiley.com/doi/full/10.1111/dmcn.12246</w:t>
      </w:r>
    </w:p>
    <w:p w14:paraId="5B086F26" w14:textId="77777777" w:rsidR="00394125" w:rsidRPr="00394125" w:rsidRDefault="00394125" w:rsidP="00394125">
      <w:pPr>
        <w:pStyle w:val="Bibliography"/>
        <w:rPr>
          <w:rFonts w:ascii="Arial Narrow" w:hAnsi="Arial Narrow"/>
        </w:rPr>
      </w:pPr>
      <w:r w:rsidRPr="00394125">
        <w:rPr>
          <w:rFonts w:ascii="Arial Narrow" w:hAnsi="Arial Narrow"/>
        </w:rPr>
        <w:t xml:space="preserve">Paleg, G., Romness, M., &amp; Livingstone, R. (2018). Interventions to improve sensory and motor outcomes for young children with central hypotonia: A systematic review. </w:t>
      </w:r>
      <w:r w:rsidRPr="00394125">
        <w:rPr>
          <w:rFonts w:ascii="Arial Narrow" w:hAnsi="Arial Narrow"/>
          <w:i/>
          <w:iCs/>
        </w:rPr>
        <w:t>Journal of Pediatric Rehabilitation Medicine</w:t>
      </w:r>
      <w:r w:rsidRPr="00394125">
        <w:rPr>
          <w:rFonts w:ascii="Arial Narrow" w:hAnsi="Arial Narrow"/>
        </w:rPr>
        <w:t xml:space="preserve">, </w:t>
      </w:r>
      <w:r w:rsidRPr="00394125">
        <w:rPr>
          <w:rFonts w:ascii="Arial Narrow" w:hAnsi="Arial Narrow"/>
          <w:i/>
          <w:iCs/>
        </w:rPr>
        <w:t>11</w:t>
      </w:r>
      <w:r w:rsidRPr="00394125">
        <w:rPr>
          <w:rFonts w:ascii="Arial Narrow" w:hAnsi="Arial Narrow"/>
        </w:rPr>
        <w:t>(1), 57–70. https://doi.org/10.3233/PRM-170507</w:t>
      </w:r>
    </w:p>
    <w:p w14:paraId="6D9CE263" w14:textId="77777777" w:rsidR="00394125" w:rsidRPr="00394125" w:rsidRDefault="00394125" w:rsidP="00394125">
      <w:pPr>
        <w:pStyle w:val="Bibliography"/>
        <w:rPr>
          <w:rFonts w:ascii="Arial Narrow" w:hAnsi="Arial Narrow"/>
        </w:rPr>
      </w:pPr>
      <w:r w:rsidRPr="00394125">
        <w:rPr>
          <w:rFonts w:ascii="Arial Narrow" w:hAnsi="Arial Narrow"/>
        </w:rPr>
        <w:t>Probability of walking, wheeled mobility, and assisted mobility in children and adolescents with cerebral palsy - PALISANO - 2010 - Developmental Medicine &amp;amp; Child Neurology - Wiley Online Library. (n.d.). Retrieved April 23, 2019, from https://onlinelibrary.wiley.com/doi/full/10.1111/j.1469-8749.2009.03454.x</w:t>
      </w:r>
    </w:p>
    <w:p w14:paraId="36A5EB26" w14:textId="77777777" w:rsidR="00394125" w:rsidRPr="00394125" w:rsidRDefault="00394125" w:rsidP="00394125">
      <w:pPr>
        <w:pStyle w:val="Bibliography"/>
        <w:rPr>
          <w:rFonts w:ascii="Arial Narrow" w:hAnsi="Arial Narrow"/>
        </w:rPr>
      </w:pPr>
      <w:r w:rsidRPr="00394125">
        <w:rPr>
          <w:rFonts w:ascii="Arial Narrow" w:hAnsi="Arial Narrow"/>
        </w:rPr>
        <w:t xml:space="preserve">Rosenbaum, P. L., Walter, S. D., Hanna, S. E., Palisano, R. J., Russell, D. J., Raina, P., … Galuppi, B. E. (2002). Prognosis for Gross Motor Function in Cerebral Palsy: Creation of Motor Development Curves. </w:t>
      </w:r>
      <w:r w:rsidRPr="00394125">
        <w:rPr>
          <w:rFonts w:ascii="Arial Narrow" w:hAnsi="Arial Narrow"/>
          <w:i/>
          <w:iCs/>
        </w:rPr>
        <w:t>JAMA</w:t>
      </w:r>
      <w:r w:rsidRPr="00394125">
        <w:rPr>
          <w:rFonts w:ascii="Arial Narrow" w:hAnsi="Arial Narrow"/>
        </w:rPr>
        <w:t xml:space="preserve">, </w:t>
      </w:r>
      <w:r w:rsidRPr="00394125">
        <w:rPr>
          <w:rFonts w:ascii="Arial Narrow" w:hAnsi="Arial Narrow"/>
          <w:i/>
          <w:iCs/>
        </w:rPr>
        <w:t>288</w:t>
      </w:r>
      <w:r w:rsidRPr="00394125">
        <w:rPr>
          <w:rFonts w:ascii="Arial Narrow" w:hAnsi="Arial Narrow"/>
        </w:rPr>
        <w:t>(11), 1357–1363. https://doi.org/10.1001/jama.288.11.1357</w:t>
      </w:r>
    </w:p>
    <w:p w14:paraId="163ADBF6" w14:textId="77777777" w:rsidR="00394125" w:rsidRPr="00394125" w:rsidRDefault="00394125" w:rsidP="00394125">
      <w:pPr>
        <w:pStyle w:val="Bibliography"/>
        <w:rPr>
          <w:rFonts w:ascii="Arial Narrow" w:hAnsi="Arial Narrow"/>
        </w:rPr>
      </w:pPr>
      <w:r w:rsidRPr="00394125">
        <w:rPr>
          <w:rFonts w:ascii="Arial Narrow" w:hAnsi="Arial Narrow"/>
        </w:rPr>
        <w:t xml:space="preserve">Surkar, S. M., Edelbrock, C., Stergiou, N., Berger, S., &amp; Harbourne, R. (2015). Sitting Postural Control Affects the Development of Focused Attention in Children With Cerebral Palsy. </w:t>
      </w:r>
      <w:r w:rsidRPr="00394125">
        <w:rPr>
          <w:rFonts w:ascii="Arial Narrow" w:hAnsi="Arial Narrow"/>
          <w:i/>
          <w:iCs/>
        </w:rPr>
        <w:t>Pediatric Physical Therapy</w:t>
      </w:r>
      <w:r w:rsidRPr="00394125">
        <w:rPr>
          <w:rFonts w:ascii="Arial Narrow" w:hAnsi="Arial Narrow"/>
        </w:rPr>
        <w:t xml:space="preserve">, </w:t>
      </w:r>
      <w:r w:rsidRPr="00394125">
        <w:rPr>
          <w:rFonts w:ascii="Arial Narrow" w:hAnsi="Arial Narrow"/>
          <w:i/>
          <w:iCs/>
        </w:rPr>
        <w:t>27</w:t>
      </w:r>
      <w:r w:rsidRPr="00394125">
        <w:rPr>
          <w:rFonts w:ascii="Arial Narrow" w:hAnsi="Arial Narrow"/>
        </w:rPr>
        <w:t>(1), 16. https://doi.org/10.1097/PEP.0000000000000097</w:t>
      </w:r>
    </w:p>
    <w:p w14:paraId="6B1526F5" w14:textId="00CD6CA5" w:rsidR="005C1062" w:rsidRDefault="005C1062" w:rsidP="005C1062">
      <w:pPr>
        <w:pStyle w:val="Bibliography"/>
        <w:rPr>
          <w:rFonts w:ascii="Arial Narrow" w:hAnsi="Arial Narrow"/>
          <w:b/>
        </w:rPr>
      </w:pPr>
      <w:r w:rsidRPr="000517CF">
        <w:rPr>
          <w:rFonts w:ascii="Arial Narrow" w:hAnsi="Arial Narrow"/>
          <w:b/>
        </w:rPr>
        <w:t xml:space="preserve">Date of Last Course Update: </w:t>
      </w:r>
      <w:r>
        <w:rPr>
          <w:rFonts w:ascii="Arial Narrow" w:hAnsi="Arial Narrow"/>
          <w:b/>
        </w:rPr>
        <w:t xml:space="preserve"> April  2019</w:t>
      </w:r>
    </w:p>
    <w:p w14:paraId="63CDB302" w14:textId="2E788BB9" w:rsidR="00DF2B08" w:rsidRDefault="00DF2B08" w:rsidP="00DF2B08"/>
    <w:p w14:paraId="61950921" w14:textId="283F4EEB" w:rsidR="00DF2B08" w:rsidRPr="006C2023" w:rsidRDefault="00DF2B08" w:rsidP="00DF2B08">
      <w:pPr>
        <w:rPr>
          <w:color w:val="FF0000"/>
        </w:rPr>
      </w:pPr>
      <w:r w:rsidRPr="006C2023">
        <w:rPr>
          <w:color w:val="FF0000"/>
        </w:rPr>
        <w:t>To register:  link to the PEDI 6510 CE course webpage where they can go to register (provide link)</w:t>
      </w:r>
    </w:p>
    <w:p w14:paraId="1FC34532" w14:textId="79E69B12" w:rsidR="00DF2B08" w:rsidRPr="006C2023" w:rsidRDefault="00DF2B08" w:rsidP="00DF2B08">
      <w:pPr>
        <w:rPr>
          <w:color w:val="FF0000"/>
        </w:rPr>
      </w:pPr>
      <w:r w:rsidRPr="006C2023">
        <w:rPr>
          <w:color w:val="FF0000"/>
        </w:rPr>
        <w:t xml:space="preserve">You will be prompted to create an EIM account and registration forms will pop up.  </w:t>
      </w:r>
    </w:p>
    <w:p w14:paraId="258486DB" w14:textId="77777777" w:rsidR="002F0CA6" w:rsidRPr="006C2023" w:rsidRDefault="002F0CA6" w:rsidP="000517CF">
      <w:pPr>
        <w:pStyle w:val="NoSpacing"/>
        <w:rPr>
          <w:rFonts w:ascii="Arial Narrow" w:hAnsi="Arial Narrow" w:cs="Tahoma"/>
          <w:b/>
          <w:color w:val="FF0000"/>
          <w:u w:val="single"/>
        </w:rPr>
      </w:pPr>
    </w:p>
    <w:sectPr w:rsidR="002F0CA6" w:rsidRPr="006C202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58B0" w14:textId="77777777" w:rsidR="002F5C3B" w:rsidRDefault="002F5C3B" w:rsidP="00841E18">
      <w:pPr>
        <w:spacing w:after="0" w:line="240" w:lineRule="auto"/>
      </w:pPr>
      <w:r>
        <w:separator/>
      </w:r>
    </w:p>
  </w:endnote>
  <w:endnote w:type="continuationSeparator" w:id="0">
    <w:p w14:paraId="2280C914" w14:textId="77777777" w:rsidR="002F5C3B" w:rsidRDefault="002F5C3B" w:rsidP="0084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Gotham Medium">
    <w:altName w:val="Calibri"/>
    <w:charset w:val="00"/>
    <w:family w:val="auto"/>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D4B6" w14:textId="77777777" w:rsidR="00841E18" w:rsidRPr="00841E18" w:rsidRDefault="007107CD" w:rsidP="00841E18">
    <w:pPr>
      <w:pStyle w:val="Footer"/>
      <w:jc w:val="center"/>
      <w:rPr>
        <w:rFonts w:ascii="Gotham Medium" w:hAnsi="Gotham Medium"/>
        <w:color w:val="0032A0"/>
      </w:rPr>
    </w:pPr>
    <w:r>
      <w:rPr>
        <w:rFonts w:ascii="Gotham Medium" w:hAnsi="Gotham Medium"/>
        <w:noProof/>
        <w:color w:val="0032A0"/>
      </w:rPr>
      <mc:AlternateContent>
        <mc:Choice Requires="wps">
          <w:drawing>
            <wp:anchor distT="0" distB="0" distL="114300" distR="114300" simplePos="0" relativeHeight="251657216" behindDoc="0" locked="0" layoutInCell="1" allowOverlap="1" wp14:anchorId="131F08F3" wp14:editId="28A70694">
              <wp:simplePos x="0" y="0"/>
              <wp:positionH relativeFrom="column">
                <wp:posOffset>3686175</wp:posOffset>
              </wp:positionH>
              <wp:positionV relativeFrom="paragraph">
                <wp:posOffset>437515</wp:posOffset>
              </wp:positionV>
              <wp:extent cx="1933575" cy="228600"/>
              <wp:effectExtent l="0" t="0" r="9525" b="0"/>
              <wp:wrapNone/>
              <wp:docPr id="4" name="Rectangle 4"/>
              <wp:cNvGraphicFramePr/>
              <a:graphic xmlns:a="http://schemas.openxmlformats.org/drawingml/2006/main">
                <a:graphicData uri="http://schemas.microsoft.com/office/word/2010/wordprocessingShape">
                  <wps:wsp>
                    <wps:cNvSpPr/>
                    <wps:spPr>
                      <a:xfrm>
                        <a:off x="0" y="0"/>
                        <a:ext cx="1933575" cy="228600"/>
                      </a:xfrm>
                      <a:prstGeom prst="rect">
                        <a:avLst/>
                      </a:prstGeom>
                      <a:solidFill>
                        <a:srgbClr val="6D6E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02286" id="Rectangle 4" o:spid="_x0000_s1026" style="position:absolute;margin-left:290.25pt;margin-top:34.45pt;width:152.25pt;height:1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" fillcolor="#6d6e70" stroked="f" strokeweight="1pt"/>
          </w:pict>
        </mc:Fallback>
      </mc:AlternateContent>
    </w:r>
    <w:r>
      <w:rPr>
        <w:rFonts w:ascii="Gotham Medium" w:hAnsi="Gotham Medium"/>
        <w:noProof/>
        <w:color w:val="0032A0"/>
      </w:rPr>
      <mc:AlternateContent>
        <mc:Choice Requires="wps">
          <w:drawing>
            <wp:anchor distT="0" distB="0" distL="114300" distR="114300" simplePos="0" relativeHeight="251658240" behindDoc="0" locked="0" layoutInCell="1" allowOverlap="1" wp14:anchorId="2AB42D5D" wp14:editId="5D3D1B34">
              <wp:simplePos x="0" y="0"/>
              <wp:positionH relativeFrom="column">
                <wp:posOffset>5619750</wp:posOffset>
              </wp:positionH>
              <wp:positionV relativeFrom="paragraph">
                <wp:posOffset>437515</wp:posOffset>
              </wp:positionV>
              <wp:extent cx="1276985"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1276985" cy="228600"/>
                      </a:xfrm>
                      <a:prstGeom prst="rect">
                        <a:avLst/>
                      </a:prstGeom>
                      <a:solidFill>
                        <a:srgbClr val="2AD2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62222F" id="Rectangle 5" o:spid="_x0000_s1026" style="position:absolute;margin-left:442.5pt;margin-top:34.45pt;width:100.55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" fillcolor="#2ad2c9" stroked="f" strokeweight="1pt"/>
          </w:pict>
        </mc:Fallback>
      </mc:AlternateContent>
    </w:r>
    <w:r>
      <w:rPr>
        <w:rFonts w:ascii="Gotham Medium" w:hAnsi="Gotham Medium"/>
        <w:noProof/>
        <w:color w:val="0032A0"/>
      </w:rPr>
      <mc:AlternateContent>
        <mc:Choice Requires="wps">
          <w:drawing>
            <wp:anchor distT="0" distB="0" distL="114300" distR="114300" simplePos="0" relativeHeight="251656192" behindDoc="0" locked="0" layoutInCell="1" allowOverlap="1" wp14:anchorId="0C49929B" wp14:editId="7D89E952">
              <wp:simplePos x="0" y="0"/>
              <wp:positionH relativeFrom="column">
                <wp:posOffset>-952500</wp:posOffset>
              </wp:positionH>
              <wp:positionV relativeFrom="paragraph">
                <wp:posOffset>437515</wp:posOffset>
              </wp:positionV>
              <wp:extent cx="4638675" cy="228600"/>
              <wp:effectExtent l="0" t="0" r="9525" b="0"/>
              <wp:wrapNone/>
              <wp:docPr id="3" name="Rectangle 3"/>
              <wp:cNvGraphicFramePr/>
              <a:graphic xmlns:a="http://schemas.openxmlformats.org/drawingml/2006/main">
                <a:graphicData uri="http://schemas.microsoft.com/office/word/2010/wordprocessingShape">
                  <wps:wsp>
                    <wps:cNvSpPr/>
                    <wps:spPr>
                      <a:xfrm>
                        <a:off x="0" y="0"/>
                        <a:ext cx="4638675" cy="228600"/>
                      </a:xfrm>
                      <a:prstGeom prst="rect">
                        <a:avLst/>
                      </a:prstGeom>
                      <a:solidFill>
                        <a:srgbClr val="0032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C95F" id="Rectangle 3" o:spid="_x0000_s1026" style="position:absolute;margin-left:-75pt;margin-top:34.45pt;width:36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" fillcolor="#0032a0" stroked="f" strokeweight="1pt"/>
          </w:pict>
        </mc:Fallback>
      </mc:AlternateContent>
    </w:r>
    <w:r w:rsidR="00841E18">
      <w:rPr>
        <w:rFonts w:ascii="Gotham Medium" w:hAnsi="Gotham Medium"/>
        <w:color w:val="0032A0"/>
      </w:rPr>
      <w:t>evidenceinmotion.com | info@eimpt.com | 1.888.709.7096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8E70" w14:textId="77777777" w:rsidR="002F5C3B" w:rsidRDefault="002F5C3B" w:rsidP="00841E18">
      <w:pPr>
        <w:spacing w:after="0" w:line="240" w:lineRule="auto"/>
      </w:pPr>
      <w:r>
        <w:separator/>
      </w:r>
    </w:p>
  </w:footnote>
  <w:footnote w:type="continuationSeparator" w:id="0">
    <w:p w14:paraId="392A7113" w14:textId="77777777" w:rsidR="002F5C3B" w:rsidRDefault="002F5C3B" w:rsidP="00841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859"/>
    <w:multiLevelType w:val="hybridMultilevel"/>
    <w:tmpl w:val="219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196"/>
    <w:multiLevelType w:val="hybridMultilevel"/>
    <w:tmpl w:val="2BA6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B35B1"/>
    <w:multiLevelType w:val="hybridMultilevel"/>
    <w:tmpl w:val="1FAC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1451"/>
    <w:multiLevelType w:val="multilevel"/>
    <w:tmpl w:val="259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5699C"/>
    <w:multiLevelType w:val="hybridMultilevel"/>
    <w:tmpl w:val="88C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7882"/>
    <w:multiLevelType w:val="hybridMultilevel"/>
    <w:tmpl w:val="CB5E5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5A49A3"/>
    <w:multiLevelType w:val="hybridMultilevel"/>
    <w:tmpl w:val="7374C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6C1107"/>
    <w:multiLevelType w:val="hybridMultilevel"/>
    <w:tmpl w:val="1CDA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92B29"/>
    <w:multiLevelType w:val="hybridMultilevel"/>
    <w:tmpl w:val="F2F8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83568"/>
    <w:multiLevelType w:val="hybridMultilevel"/>
    <w:tmpl w:val="3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9674E"/>
    <w:multiLevelType w:val="hybridMultilevel"/>
    <w:tmpl w:val="B192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50587E"/>
    <w:multiLevelType w:val="hybridMultilevel"/>
    <w:tmpl w:val="4E3A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87009"/>
    <w:multiLevelType w:val="hybridMultilevel"/>
    <w:tmpl w:val="9C98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54D6D"/>
    <w:multiLevelType w:val="hybridMultilevel"/>
    <w:tmpl w:val="0FD6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E5154"/>
    <w:multiLevelType w:val="hybridMultilevel"/>
    <w:tmpl w:val="E07EFFB2"/>
    <w:lvl w:ilvl="0" w:tplc="6CDE14EC">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67113B"/>
    <w:multiLevelType w:val="hybridMultilevel"/>
    <w:tmpl w:val="7FD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9711A"/>
    <w:multiLevelType w:val="hybridMultilevel"/>
    <w:tmpl w:val="897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93D62"/>
    <w:multiLevelType w:val="hybridMultilevel"/>
    <w:tmpl w:val="370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61C94"/>
    <w:multiLevelType w:val="hybridMultilevel"/>
    <w:tmpl w:val="A310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8"/>
  </w:num>
  <w:num w:numId="4">
    <w:abstractNumId w:val="4"/>
  </w:num>
  <w:num w:numId="5">
    <w:abstractNumId w:val="11"/>
  </w:num>
  <w:num w:numId="6">
    <w:abstractNumId w:val="17"/>
  </w:num>
  <w:num w:numId="7">
    <w:abstractNumId w:val="9"/>
  </w:num>
  <w:num w:numId="8">
    <w:abstractNumId w:val="12"/>
  </w:num>
  <w:num w:numId="9">
    <w:abstractNumId w:val="14"/>
  </w:num>
  <w:num w:numId="10">
    <w:abstractNumId w:val="13"/>
  </w:num>
  <w:num w:numId="11">
    <w:abstractNumId w:val="1"/>
  </w:num>
  <w:num w:numId="12">
    <w:abstractNumId w:val="18"/>
  </w:num>
  <w:num w:numId="13">
    <w:abstractNumId w:val="6"/>
  </w:num>
  <w:num w:numId="14">
    <w:abstractNumId w:val="10"/>
  </w:num>
  <w:num w:numId="15">
    <w:abstractNumId w:val="5"/>
  </w:num>
  <w:num w:numId="16">
    <w:abstractNumId w:val="0"/>
  </w:num>
  <w:num w:numId="17">
    <w:abstractNumId w:val="1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8"/>
    <w:rsid w:val="00015683"/>
    <w:rsid w:val="000517CF"/>
    <w:rsid w:val="00093D91"/>
    <w:rsid w:val="00121F72"/>
    <w:rsid w:val="001B5D16"/>
    <w:rsid w:val="001C0B06"/>
    <w:rsid w:val="001E3137"/>
    <w:rsid w:val="00207E8D"/>
    <w:rsid w:val="002127B9"/>
    <w:rsid w:val="002741AD"/>
    <w:rsid w:val="00283110"/>
    <w:rsid w:val="002A4C60"/>
    <w:rsid w:val="002C623C"/>
    <w:rsid w:val="002E26F0"/>
    <w:rsid w:val="002E4665"/>
    <w:rsid w:val="002E65AD"/>
    <w:rsid w:val="002F0CA6"/>
    <w:rsid w:val="002F1F96"/>
    <w:rsid w:val="002F5C3B"/>
    <w:rsid w:val="00311014"/>
    <w:rsid w:val="00361B12"/>
    <w:rsid w:val="00375E3C"/>
    <w:rsid w:val="00392BBF"/>
    <w:rsid w:val="00394125"/>
    <w:rsid w:val="003A4EBC"/>
    <w:rsid w:val="003F6AE6"/>
    <w:rsid w:val="004519D7"/>
    <w:rsid w:val="00482E99"/>
    <w:rsid w:val="0049306E"/>
    <w:rsid w:val="004971E0"/>
    <w:rsid w:val="004B71C7"/>
    <w:rsid w:val="00522385"/>
    <w:rsid w:val="00593690"/>
    <w:rsid w:val="005C1062"/>
    <w:rsid w:val="005D6F49"/>
    <w:rsid w:val="005F35FA"/>
    <w:rsid w:val="00607E71"/>
    <w:rsid w:val="00630C5F"/>
    <w:rsid w:val="00643D1C"/>
    <w:rsid w:val="00651E78"/>
    <w:rsid w:val="00675E72"/>
    <w:rsid w:val="006A2694"/>
    <w:rsid w:val="006C2023"/>
    <w:rsid w:val="006C6FE1"/>
    <w:rsid w:val="006E12FB"/>
    <w:rsid w:val="007107CD"/>
    <w:rsid w:val="00741E3B"/>
    <w:rsid w:val="0075693A"/>
    <w:rsid w:val="007D5FCF"/>
    <w:rsid w:val="007F1FDD"/>
    <w:rsid w:val="0082229C"/>
    <w:rsid w:val="008416F9"/>
    <w:rsid w:val="00841E18"/>
    <w:rsid w:val="00863C1C"/>
    <w:rsid w:val="00872E39"/>
    <w:rsid w:val="008F1F61"/>
    <w:rsid w:val="008F4654"/>
    <w:rsid w:val="008F7756"/>
    <w:rsid w:val="00936B72"/>
    <w:rsid w:val="009633E6"/>
    <w:rsid w:val="009B094A"/>
    <w:rsid w:val="009D172D"/>
    <w:rsid w:val="00A23970"/>
    <w:rsid w:val="00A5476C"/>
    <w:rsid w:val="00AC7A8C"/>
    <w:rsid w:val="00B174AF"/>
    <w:rsid w:val="00B22783"/>
    <w:rsid w:val="00B23202"/>
    <w:rsid w:val="00B433C5"/>
    <w:rsid w:val="00BA4C74"/>
    <w:rsid w:val="00BB0558"/>
    <w:rsid w:val="00C35B17"/>
    <w:rsid w:val="00C813D8"/>
    <w:rsid w:val="00CB719D"/>
    <w:rsid w:val="00CC54FA"/>
    <w:rsid w:val="00CD3AEE"/>
    <w:rsid w:val="00D01633"/>
    <w:rsid w:val="00D11BCB"/>
    <w:rsid w:val="00DE25E2"/>
    <w:rsid w:val="00DF2B08"/>
    <w:rsid w:val="00E6782F"/>
    <w:rsid w:val="00F37422"/>
    <w:rsid w:val="00FC2AAE"/>
    <w:rsid w:val="00FD03DF"/>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8A9DD"/>
  <w15:docId w15:val="{0B160DEA-F943-4C64-B101-1C9DC80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18"/>
  </w:style>
  <w:style w:type="paragraph" w:styleId="Footer">
    <w:name w:val="footer"/>
    <w:basedOn w:val="Normal"/>
    <w:link w:val="FooterChar"/>
    <w:uiPriority w:val="99"/>
    <w:unhideWhenUsed/>
    <w:rsid w:val="0084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18"/>
  </w:style>
  <w:style w:type="character" w:styleId="Hyperlink">
    <w:name w:val="Hyperlink"/>
    <w:basedOn w:val="DefaultParagraphFont"/>
    <w:uiPriority w:val="99"/>
    <w:unhideWhenUsed/>
    <w:rsid w:val="00841E18"/>
    <w:rPr>
      <w:color w:val="0563C1" w:themeColor="hyperlink"/>
      <w:u w:val="single"/>
    </w:rPr>
  </w:style>
  <w:style w:type="paragraph" w:styleId="ListParagraph">
    <w:name w:val="List Paragraph"/>
    <w:basedOn w:val="Normal"/>
    <w:uiPriority w:val="34"/>
    <w:qFormat/>
    <w:rsid w:val="00E6782F"/>
    <w:pPr>
      <w:ind w:left="720"/>
      <w:contextualSpacing/>
    </w:pPr>
  </w:style>
  <w:style w:type="paragraph" w:styleId="NoSpacing">
    <w:name w:val="No Spacing"/>
    <w:uiPriority w:val="1"/>
    <w:qFormat/>
    <w:rsid w:val="00E6782F"/>
    <w:pPr>
      <w:spacing w:after="0" w:line="240" w:lineRule="auto"/>
    </w:pPr>
  </w:style>
  <w:style w:type="paragraph" w:customStyle="1" w:styleId="Default">
    <w:name w:val="Default"/>
    <w:rsid w:val="00E678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plgtext">
    <w:name w:val="poplgtext"/>
    <w:basedOn w:val="DefaultParagraphFont"/>
    <w:rsid w:val="00CC54FA"/>
  </w:style>
  <w:style w:type="table" w:styleId="TableGrid">
    <w:name w:val="Table Grid"/>
    <w:basedOn w:val="TableNormal"/>
    <w:uiPriority w:val="59"/>
    <w:rsid w:val="00CC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2694"/>
    <w:rPr>
      <w:color w:val="605E5C"/>
      <w:shd w:val="clear" w:color="auto" w:fill="E1DFDD"/>
    </w:rPr>
  </w:style>
  <w:style w:type="table" w:styleId="GridTable1Light-Accent1">
    <w:name w:val="Grid Table 1 Light Accent 1"/>
    <w:basedOn w:val="TableNormal"/>
    <w:uiPriority w:val="46"/>
    <w:rsid w:val="00872E3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9412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nnedy@southalabama.edu" TargetMode="External"/><Relationship Id="rId13" Type="http://schemas.openxmlformats.org/officeDocument/2006/relationships/hyperlink" Target="https://doi.org/10.1016/j.apmr.2017.05.0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thways.org/watch/five-essential-tummy-time-moves-how-to-do-tummy-ti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hsa.ca/shhc/icf/story_html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urses@eimpt.com" TargetMode="External"/><Relationship Id="rId4" Type="http://schemas.openxmlformats.org/officeDocument/2006/relationships/webSettings" Target="webSettings.xml"/><Relationship Id="rId9" Type="http://schemas.openxmlformats.org/officeDocument/2006/relationships/hyperlink" Target="mailto:yorks@uab.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2547</Words>
  <Characters>14521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McGuire</dc:creator>
  <cp:lastModifiedBy>McCurry, Valley Osborne</cp:lastModifiedBy>
  <cp:revision>2</cp:revision>
  <cp:lastPrinted>2018-08-22T17:00:00Z</cp:lastPrinted>
  <dcterms:created xsi:type="dcterms:W3CDTF">2019-05-17T15:39:00Z</dcterms:created>
  <dcterms:modified xsi:type="dcterms:W3CDTF">2019-05-17T15:39:00Z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id="w99yNsYC"/&gt;&lt;style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